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ABD1" w14:textId="77777777" w:rsidR="00412576" w:rsidRPr="00DC1FBA" w:rsidRDefault="000C3074" w:rsidP="00DC1FBA">
      <w:pPr>
        <w:pStyle w:val="Heading1"/>
      </w:pPr>
      <w:r>
        <w:t>Visual Culture Special Subject</w:t>
      </w:r>
    </w:p>
    <w:p w14:paraId="7EDD382E" w14:textId="64D1E915" w:rsidR="00412576" w:rsidRPr="00F22113" w:rsidRDefault="005C5E27" w:rsidP="00DC1FBA">
      <w:pPr>
        <w:pStyle w:val="Heading1"/>
        <w:rPr>
          <w:sz w:val="28"/>
        </w:rPr>
      </w:pPr>
      <w:r>
        <w:rPr>
          <w:sz w:val="28"/>
        </w:rPr>
        <w:t>VC3004</w:t>
      </w:r>
      <w:r w:rsidR="000C3074">
        <w:rPr>
          <w:sz w:val="28"/>
        </w:rPr>
        <w:t xml:space="preserve"> </w:t>
      </w:r>
    </w:p>
    <w:p w14:paraId="07C132F4" w14:textId="77777777" w:rsidR="00870FF0" w:rsidRPr="004C68FE" w:rsidRDefault="00870FF0" w:rsidP="00D70C17"/>
    <w:p w14:paraId="19CC6008" w14:textId="77777777" w:rsidR="00870FF0" w:rsidRPr="00933A22" w:rsidRDefault="00870FF0" w:rsidP="000E40DB">
      <w:pPr>
        <w:pStyle w:val="Heading1"/>
      </w:pPr>
      <w:r w:rsidRPr="00933A22">
        <w:t>MODULE DESCRIPTOR</w:t>
      </w:r>
    </w:p>
    <w:p w14:paraId="508CDEE2" w14:textId="77777777" w:rsidR="00870FF0" w:rsidRPr="00933A22" w:rsidRDefault="00870FF0" w:rsidP="00D70C17"/>
    <w:tbl>
      <w:tblPr>
        <w:tblStyle w:val="GridTable2-Accent5"/>
        <w:tblW w:w="0" w:type="auto"/>
        <w:tblLook w:val="0200" w:firstRow="0" w:lastRow="0" w:firstColumn="0" w:lastColumn="0" w:noHBand="1" w:noVBand="0"/>
      </w:tblPr>
      <w:tblGrid>
        <w:gridCol w:w="1496"/>
        <w:gridCol w:w="989"/>
        <w:gridCol w:w="2251"/>
        <w:gridCol w:w="4290"/>
      </w:tblGrid>
      <w:tr w:rsidR="00870FF0" w:rsidRPr="00933A22" w14:paraId="049B0C24"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474F64FC" w14:textId="77777777" w:rsidR="00870FF0" w:rsidRPr="00061DC9" w:rsidRDefault="00A60AB9" w:rsidP="00B61B1B">
            <w:pPr>
              <w:pStyle w:val="Heading4"/>
              <w:outlineLvl w:val="3"/>
            </w:pPr>
            <w:r w:rsidRPr="00061DC9">
              <w:t>ECTS c</w:t>
            </w:r>
            <w:r w:rsidR="00870FF0" w:rsidRPr="00061DC9">
              <w:t>redits</w:t>
            </w:r>
            <w:r w:rsidRPr="00605612">
              <w:rPr>
                <w:vertAlign w:val="superscript"/>
              </w:rPr>
              <w:footnoteReference w:id="1"/>
            </w:r>
          </w:p>
        </w:tc>
        <w:tc>
          <w:tcPr>
            <w:tcW w:w="999" w:type="dxa"/>
          </w:tcPr>
          <w:p w14:paraId="4BE1EC11" w14:textId="77777777" w:rsidR="00870FF0" w:rsidRPr="00E02FCD" w:rsidRDefault="000C3074" w:rsidP="003916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10</w:t>
            </w:r>
          </w:p>
        </w:tc>
        <w:tc>
          <w:tcPr>
            <w:cnfStyle w:val="000010000000" w:firstRow="0" w:lastRow="0" w:firstColumn="0" w:lastColumn="0" w:oddVBand="1" w:evenVBand="0" w:oddHBand="0" w:evenHBand="0" w:firstRowFirstColumn="0" w:firstRowLastColumn="0" w:lastRowFirstColumn="0" w:lastRowLastColumn="0"/>
            <w:tcW w:w="2268" w:type="dxa"/>
          </w:tcPr>
          <w:p w14:paraId="352A1DD2" w14:textId="77777777" w:rsidR="00870FF0" w:rsidRPr="00933A22" w:rsidRDefault="00870FF0" w:rsidP="00B61B1B">
            <w:pPr>
              <w:pStyle w:val="Heading4"/>
              <w:outlineLvl w:val="3"/>
            </w:pPr>
            <w:r w:rsidRPr="00933A22">
              <w:t>Programme</w:t>
            </w:r>
          </w:p>
        </w:tc>
        <w:tc>
          <w:tcPr>
            <w:tcW w:w="4348" w:type="dxa"/>
          </w:tcPr>
          <w:p w14:paraId="2BC6CC5E" w14:textId="77777777" w:rsidR="00E02FCD" w:rsidRPr="00E02FCD" w:rsidRDefault="000C3074" w:rsidP="00E02FCD">
            <w:pPr>
              <w:pStyle w:val="No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BA in Visual Culture</w:t>
            </w:r>
          </w:p>
        </w:tc>
      </w:tr>
      <w:tr w:rsidR="00870FF0" w:rsidRPr="00933A22" w14:paraId="7176600A"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4B2D7A53" w14:textId="77777777" w:rsidR="00870FF0" w:rsidRPr="00061DC9" w:rsidRDefault="00870FF0" w:rsidP="00B61B1B">
            <w:pPr>
              <w:pStyle w:val="Heading4"/>
              <w:outlineLvl w:val="3"/>
            </w:pPr>
            <w:r w:rsidRPr="00061DC9">
              <w:t>NQF level</w:t>
            </w:r>
          </w:p>
        </w:tc>
        <w:tc>
          <w:tcPr>
            <w:tcW w:w="999" w:type="dxa"/>
          </w:tcPr>
          <w:p w14:paraId="2ABA934D" w14:textId="77777777" w:rsidR="00870FF0" w:rsidRPr="00E02FCD" w:rsidRDefault="000C3074" w:rsidP="004C68FE">
            <w:pPr>
              <w:pStyle w:val="No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c>
          <w:tcPr>
            <w:cnfStyle w:val="000010000000" w:firstRow="0" w:lastRow="0" w:firstColumn="0" w:lastColumn="0" w:oddVBand="1" w:evenVBand="0" w:oddHBand="0" w:evenHBand="0" w:firstRowFirstColumn="0" w:firstRowLastColumn="0" w:lastRowFirstColumn="0" w:lastRowLastColumn="0"/>
            <w:tcW w:w="2268" w:type="dxa"/>
          </w:tcPr>
          <w:p w14:paraId="52B1BFF2" w14:textId="77777777" w:rsidR="00870FF0" w:rsidRPr="00F13B83" w:rsidRDefault="00870FF0" w:rsidP="00B61B1B">
            <w:pPr>
              <w:pStyle w:val="Heading4"/>
              <w:outlineLvl w:val="3"/>
            </w:pPr>
            <w:r w:rsidRPr="00F13B83">
              <w:t>School</w:t>
            </w:r>
          </w:p>
        </w:tc>
        <w:tc>
          <w:tcPr>
            <w:tcW w:w="4348" w:type="dxa"/>
          </w:tcPr>
          <w:p w14:paraId="081D91FE" w14:textId="77777777" w:rsidR="00870FF0" w:rsidRPr="00E02FCD" w:rsidRDefault="000C3074" w:rsidP="004C68FE">
            <w:pPr>
              <w:pStyle w:val="No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School of Visual Culture</w:t>
            </w:r>
          </w:p>
        </w:tc>
      </w:tr>
      <w:tr w:rsidR="00870FF0" w:rsidRPr="00933A22" w14:paraId="37875ED2"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654F4442" w14:textId="77777777" w:rsidR="00870FF0" w:rsidRPr="00061DC9" w:rsidRDefault="00870FF0" w:rsidP="00B61B1B">
            <w:pPr>
              <w:pStyle w:val="Heading4"/>
              <w:outlineLvl w:val="3"/>
            </w:pPr>
            <w:r w:rsidRPr="00061DC9">
              <w:t>Stage</w:t>
            </w:r>
          </w:p>
        </w:tc>
        <w:tc>
          <w:tcPr>
            <w:tcW w:w="999" w:type="dxa"/>
          </w:tcPr>
          <w:p w14:paraId="2CFA9615" w14:textId="77777777" w:rsidR="00870FF0" w:rsidRPr="006D56D4" w:rsidRDefault="000C3074" w:rsidP="006D5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c>
          <w:tcPr>
            <w:cnfStyle w:val="000010000000" w:firstRow="0" w:lastRow="0" w:firstColumn="0" w:lastColumn="0" w:oddVBand="1" w:evenVBand="0" w:oddHBand="0" w:evenHBand="0" w:firstRowFirstColumn="0" w:firstRowLastColumn="0" w:lastRowFirstColumn="0" w:lastRowLastColumn="0"/>
            <w:tcW w:w="2268" w:type="dxa"/>
          </w:tcPr>
          <w:p w14:paraId="245C7202" w14:textId="77777777" w:rsidR="00870FF0" w:rsidRPr="00F13B83" w:rsidRDefault="00870FF0" w:rsidP="00B61B1B">
            <w:pPr>
              <w:pStyle w:val="Heading4"/>
              <w:outlineLvl w:val="3"/>
            </w:pPr>
            <w:r w:rsidRPr="00933A22">
              <w:t>Module Co-ordinator</w:t>
            </w:r>
          </w:p>
        </w:tc>
        <w:tc>
          <w:tcPr>
            <w:tcW w:w="4348" w:type="dxa"/>
          </w:tcPr>
          <w:p w14:paraId="098E6A0E" w14:textId="439503EB" w:rsidR="00870FF0" w:rsidRPr="00E02FCD" w:rsidRDefault="001E320A" w:rsidP="003916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Dr Emma Mahony</w:t>
            </w:r>
          </w:p>
        </w:tc>
      </w:tr>
      <w:tr w:rsidR="00870FF0" w:rsidRPr="00933A22" w14:paraId="77E02703"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5F4D7FEB" w14:textId="77777777" w:rsidR="00870FF0" w:rsidRPr="00061DC9" w:rsidRDefault="00E02FCD" w:rsidP="00B61B1B">
            <w:pPr>
              <w:pStyle w:val="Heading4"/>
              <w:outlineLvl w:val="3"/>
            </w:pPr>
            <w:r w:rsidRPr="00061DC9">
              <w:t>Tri</w:t>
            </w:r>
            <w:r w:rsidR="00870FF0" w:rsidRPr="00061DC9">
              <w:t>mester</w:t>
            </w:r>
          </w:p>
        </w:tc>
        <w:tc>
          <w:tcPr>
            <w:tcW w:w="999" w:type="dxa"/>
          </w:tcPr>
          <w:p w14:paraId="3B314E36" w14:textId="77777777" w:rsidR="00870FF0" w:rsidRPr="006D56D4" w:rsidRDefault="000C3074" w:rsidP="006D5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2</w:t>
            </w:r>
          </w:p>
        </w:tc>
        <w:tc>
          <w:tcPr>
            <w:cnfStyle w:val="000010000000" w:firstRow="0" w:lastRow="0" w:firstColumn="0" w:lastColumn="0" w:oddVBand="1" w:evenVBand="0" w:oddHBand="0" w:evenHBand="0" w:firstRowFirstColumn="0" w:firstRowLastColumn="0" w:lastRowFirstColumn="0" w:lastRowLastColumn="0"/>
            <w:tcW w:w="2268" w:type="dxa"/>
          </w:tcPr>
          <w:p w14:paraId="6D924069" w14:textId="77777777" w:rsidR="00870FF0" w:rsidRPr="00933A22" w:rsidRDefault="00870FF0" w:rsidP="00B61B1B">
            <w:pPr>
              <w:pStyle w:val="Heading4"/>
              <w:outlineLvl w:val="3"/>
            </w:pPr>
            <w:r w:rsidRPr="00933A22">
              <w:t>Module Team</w:t>
            </w:r>
          </w:p>
        </w:tc>
        <w:tc>
          <w:tcPr>
            <w:tcW w:w="4348" w:type="dxa"/>
          </w:tcPr>
          <w:p w14:paraId="1EBDF156" w14:textId="00194753" w:rsidR="00870FF0" w:rsidRPr="00E02FCD" w:rsidRDefault="001E320A" w:rsidP="003916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Denis Kehoe and other School of VC staff</w:t>
            </w:r>
          </w:p>
        </w:tc>
      </w:tr>
      <w:tr w:rsidR="00E83BC8" w:rsidRPr="00933A22" w14:paraId="6B4136EE"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6D4595D3" w14:textId="77777777" w:rsidR="00E83BC8" w:rsidRPr="00061DC9" w:rsidRDefault="00E83BC8" w:rsidP="00B61B1B">
            <w:pPr>
              <w:pStyle w:val="Heading4"/>
              <w:outlineLvl w:val="3"/>
            </w:pPr>
            <w:r w:rsidRPr="00061DC9">
              <w:t>Contact</w:t>
            </w:r>
          </w:p>
        </w:tc>
        <w:tc>
          <w:tcPr>
            <w:tcW w:w="7615" w:type="dxa"/>
            <w:gridSpan w:val="3"/>
          </w:tcPr>
          <w:p w14:paraId="2191A3AF" w14:textId="77777777" w:rsidR="00AA73CF" w:rsidRPr="006D56D4" w:rsidRDefault="000C3074" w:rsidP="006D5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Neasa Travers, School Secretary: </w:t>
            </w:r>
            <w:hyperlink r:id="rId8" w:history="1">
              <w:r w:rsidRPr="00D23609">
                <w:rPr>
                  <w:rStyle w:val="Hyperlink"/>
                  <w:rFonts w:asciiTheme="minorHAnsi" w:hAnsiTheme="minorHAnsi" w:cstheme="minorHAnsi"/>
                  <w:szCs w:val="22"/>
                </w:rPr>
                <w:t>visualculture@staff.ncad.ie</w:t>
              </w:r>
            </w:hyperlink>
          </w:p>
        </w:tc>
      </w:tr>
      <w:tr w:rsidR="006E281A" w:rsidRPr="00933A22" w14:paraId="6478CAB1"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3FE537CE" w14:textId="77777777" w:rsidR="006E281A" w:rsidRPr="00061DC9" w:rsidRDefault="006E281A" w:rsidP="00B61B1B">
            <w:pPr>
              <w:pStyle w:val="Heading4"/>
              <w:outlineLvl w:val="3"/>
            </w:pPr>
            <w:r w:rsidRPr="00061DC9">
              <w:t>Responsibility</w:t>
            </w:r>
          </w:p>
        </w:tc>
        <w:tc>
          <w:tcPr>
            <w:tcW w:w="7615" w:type="dxa"/>
            <w:gridSpan w:val="3"/>
          </w:tcPr>
          <w:p w14:paraId="579AB0AD" w14:textId="77777777" w:rsidR="006E281A" w:rsidRPr="00E02FCD" w:rsidRDefault="00FD090F" w:rsidP="005F7C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The NCAD Academic Council and the School of Visual Culture Board have responsibility for this module.</w:t>
            </w:r>
          </w:p>
        </w:tc>
      </w:tr>
    </w:tbl>
    <w:p w14:paraId="0904CD15" w14:textId="77777777" w:rsidR="00870FF0" w:rsidRPr="00933A22" w:rsidRDefault="00870FF0" w:rsidP="00D70C17"/>
    <w:p w14:paraId="183C5DDF" w14:textId="77777777" w:rsidR="00A55B7E" w:rsidRPr="00CC6237" w:rsidRDefault="00A55B7E" w:rsidP="00CC6237">
      <w:pPr>
        <w:pStyle w:val="Heading2"/>
      </w:pPr>
      <w:r w:rsidRPr="00CC6237">
        <w:t>Introduction</w:t>
      </w:r>
    </w:p>
    <w:p w14:paraId="5EE9F32D" w14:textId="77777777" w:rsidR="000C3074" w:rsidRDefault="000C3074" w:rsidP="000C3074">
      <w:pPr>
        <w:pStyle w:val="ListParagraph"/>
      </w:pPr>
      <w:r>
        <w:t>This final year Special Subject module presents students with an opportunity to explore current themes in the field of Visual Culture.  Particular emphasis will be placed on emerging and changing matters of concern which are the focus of current critical thinking, and the module will, as such, place a strong emphasis on the contemporary even when addressing historical issues.</w:t>
      </w:r>
    </w:p>
    <w:p w14:paraId="5022E3E8" w14:textId="77777777" w:rsidR="000C3074" w:rsidRDefault="000C3074" w:rsidP="000C3074">
      <w:pPr>
        <w:pStyle w:val="ListParagraph"/>
      </w:pPr>
      <w:r>
        <w:t>Students on the module will engage with current and emerging theories of Visual Culture, as well as pressing debates about its effects on society, on the non-human, on the environment, etc.</w:t>
      </w:r>
    </w:p>
    <w:p w14:paraId="658E1DF6" w14:textId="77777777" w:rsidR="000C3074" w:rsidRDefault="000C3074" w:rsidP="000C3074">
      <w:pPr>
        <w:pStyle w:val="ListParagraph"/>
      </w:pPr>
      <w:r>
        <w:t>This module will be offered as a choice of two or more specialist classes which address different aspects of the field.  For instance, it might be offered as a choice of a class on Global Cinema (addressing how matters of current concern such as human rights, climate change, diasporic culture, the migrant crisis, post colonialism, inter-generational conflict and economic injustice have been tackled by feature film and documentary film makers in different international settings), and another class on Future Ecology (exploring climate justice activism, sustainable exhibition-making practices, queer landscapes, biodesign, etc).</w:t>
      </w:r>
    </w:p>
    <w:p w14:paraId="182048AD" w14:textId="77777777" w:rsidR="000C3074" w:rsidRDefault="000C3074" w:rsidP="000C3074">
      <w:pPr>
        <w:pStyle w:val="ListParagraph"/>
      </w:pPr>
      <w:r>
        <w:t>The choice of topics will change regularly and will benefit from current expertise and research practices of staff in the School.</w:t>
      </w:r>
    </w:p>
    <w:p w14:paraId="2990D450" w14:textId="77777777" w:rsidR="000C3074" w:rsidRDefault="000C3074" w:rsidP="000C3074">
      <w:pPr>
        <w:pStyle w:val="ListParagraph"/>
      </w:pPr>
      <w:r>
        <w:t>As final year students, leaners will be expected to shape their learning in an active manner, writing and researching a question (assignment) of their own design and making a presentation to their peers.  Particular emphasis will be placed on further developing the kinds of research skills required to understand contemporary and changing concerns, such as interviews with key actors, analysis of reports and policy documents, news reports, etc.</w:t>
      </w:r>
    </w:p>
    <w:p w14:paraId="342DD522" w14:textId="77777777" w:rsidR="000C3074" w:rsidRDefault="000C3074" w:rsidP="000C3074">
      <w:pPr>
        <w:pStyle w:val="ListParagraph"/>
      </w:pPr>
      <w:r>
        <w:t xml:space="preserve">Where possible, the special subject classes will connect with external organisations, individuals and partners working in the fields addressed.  For instance, scheduled in the spring, the programme will coincide with the annual Dublin International Film Festival (DIFF) and close relations between the </w:t>
      </w:r>
      <w:r>
        <w:lastRenderedPageBreak/>
        <w:t>DIFF programmers and the School of Visual Culture will allow for screening opportunities and talks from film-makers and film industry professionals to be enjoyed by students.</w:t>
      </w:r>
    </w:p>
    <w:p w14:paraId="5D564B8C" w14:textId="77777777" w:rsidR="0007114E" w:rsidRPr="00CC6237" w:rsidRDefault="0007114E" w:rsidP="00CC6237">
      <w:pPr>
        <w:pStyle w:val="ListParagraph"/>
      </w:pPr>
      <w:r w:rsidRPr="00CC6237">
        <w:t>The aims of this module are to:</w:t>
      </w:r>
    </w:p>
    <w:p w14:paraId="529D1DAA" w14:textId="77777777" w:rsidR="00A374F6" w:rsidRDefault="00A374F6" w:rsidP="002747C0">
      <w:pPr>
        <w:pStyle w:val="Bullets"/>
      </w:pPr>
      <w:r>
        <w:t>Engage in a deep and sustained fashion with contemporary concerns and debates in a field of Visual Culture</w:t>
      </w:r>
      <w:r w:rsidR="00697269">
        <w:t>.</w:t>
      </w:r>
    </w:p>
    <w:p w14:paraId="7087DA7F" w14:textId="77777777" w:rsidR="00A374F6" w:rsidRDefault="00A374F6" w:rsidP="00D82A56">
      <w:pPr>
        <w:pStyle w:val="Bullets"/>
      </w:pPr>
      <w:r>
        <w:t>Support students to extend their command of forms and methods of research of matters of contemporary concern</w:t>
      </w:r>
      <w:r w:rsidR="00697269">
        <w:t>.</w:t>
      </w:r>
    </w:p>
    <w:p w14:paraId="26D62EE0" w14:textId="77777777" w:rsidR="006B3E28" w:rsidRPr="00933A22" w:rsidRDefault="00A374F6" w:rsidP="00A374F6">
      <w:pPr>
        <w:pStyle w:val="Bullets"/>
      </w:pPr>
      <w:r>
        <w:t>Further develop the skills required to design and then answer a complex research question.</w:t>
      </w:r>
    </w:p>
    <w:p w14:paraId="01D12138" w14:textId="77777777" w:rsidR="00A55B7E" w:rsidRPr="00F13B83" w:rsidRDefault="00A55B7E" w:rsidP="00CC6237">
      <w:pPr>
        <w:pStyle w:val="Heading2"/>
      </w:pPr>
      <w:r w:rsidRPr="00F13B83">
        <w:t>What will I learn?</w:t>
      </w:r>
    </w:p>
    <w:p w14:paraId="4EF40CA7" w14:textId="77777777" w:rsidR="0007114E" w:rsidRPr="00690DD7" w:rsidRDefault="0007114E" w:rsidP="00CC6237">
      <w:pPr>
        <w:pStyle w:val="ListParagraph"/>
      </w:pPr>
      <w:r w:rsidRPr="00690DD7">
        <w:t>On successful completion of this module students will be able to:</w:t>
      </w:r>
    </w:p>
    <w:p w14:paraId="03963C10" w14:textId="77777777" w:rsidR="00697269" w:rsidRDefault="00697269" w:rsidP="00E326D8">
      <w:pPr>
        <w:pStyle w:val="Numbers"/>
      </w:pPr>
      <w:r>
        <w:t>UNDERSTAND and ANALYSE pressing issues in a field of contemporary visual culture, testing and applying key concepts and theories.</w:t>
      </w:r>
    </w:p>
    <w:p w14:paraId="358AF0AE" w14:textId="77777777" w:rsidR="00697269" w:rsidRDefault="00697269" w:rsidP="007C27F0">
      <w:pPr>
        <w:pStyle w:val="Numbers"/>
      </w:pPr>
      <w:r>
        <w:t>DEVELOP and APPLY appropriate research tools for the study of an issue or matter of the student’s own choosing.</w:t>
      </w:r>
    </w:p>
    <w:p w14:paraId="2E4005E6" w14:textId="77777777" w:rsidR="006B3E28" w:rsidRPr="00CC6237" w:rsidRDefault="00697269" w:rsidP="00697269">
      <w:pPr>
        <w:pStyle w:val="Numbers"/>
      </w:pPr>
      <w:r>
        <w:t>ANALYSE a diverse range of research materials in a sophisticated manner.</w:t>
      </w:r>
    </w:p>
    <w:p w14:paraId="692F155B" w14:textId="77777777" w:rsidR="00A55B7E" w:rsidRPr="0007114E" w:rsidRDefault="00A55B7E" w:rsidP="00CC6237">
      <w:pPr>
        <w:pStyle w:val="Heading2"/>
      </w:pPr>
      <w:r w:rsidRPr="00F13B83">
        <w:t>How will I learn?</w:t>
      </w:r>
    </w:p>
    <w:p w14:paraId="4E5324DE" w14:textId="77777777" w:rsidR="0007114E" w:rsidRDefault="00697269" w:rsidP="00697269">
      <w:pPr>
        <w:pStyle w:val="ListParagraph"/>
      </w:pPr>
      <w:r>
        <w:t>Learning will take the form of weekly seminars, in preparation for which students will be required to</w:t>
      </w:r>
      <w:r w:rsidR="00193245">
        <w:t xml:space="preserve"> </w:t>
      </w:r>
      <w:r>
        <w:t xml:space="preserve">read primary and secondary texts in advance and undertake other forms of class preparation. </w:t>
      </w:r>
      <w:r w:rsidR="00193245">
        <w:t xml:space="preserve"> </w:t>
      </w:r>
      <w:r>
        <w:t>As a</w:t>
      </w:r>
      <w:r w:rsidR="00193245">
        <w:t xml:space="preserve"> </w:t>
      </w:r>
      <w:r>
        <w:t xml:space="preserve">seminar, each class will take the form of tutor-led discussion of selected case studies. </w:t>
      </w:r>
      <w:r w:rsidR="00193245">
        <w:t xml:space="preserve"> </w:t>
      </w:r>
      <w:r>
        <w:t>Students will</w:t>
      </w:r>
      <w:r w:rsidR="00193245">
        <w:t xml:space="preserve"> </w:t>
      </w:r>
      <w:r>
        <w:t>lead a presentation in the final stages of the programme that will support the writing of a long-form</w:t>
      </w:r>
      <w:r w:rsidR="00193245">
        <w:t xml:space="preserve"> </w:t>
      </w:r>
      <w:r>
        <w:t>essay.</w:t>
      </w:r>
    </w:p>
    <w:p w14:paraId="66BA2632" w14:textId="77777777" w:rsidR="00880AA1" w:rsidRPr="00DC1FBA" w:rsidRDefault="00880AA1" w:rsidP="00193245"/>
    <w:tbl>
      <w:tblPr>
        <w:tblStyle w:val="GridTable2-Accent1"/>
        <w:tblW w:w="0" w:type="auto"/>
        <w:tblLook w:val="0660" w:firstRow="1" w:lastRow="1" w:firstColumn="0" w:lastColumn="0" w:noHBand="1" w:noVBand="1"/>
      </w:tblPr>
      <w:tblGrid>
        <w:gridCol w:w="3402"/>
        <w:gridCol w:w="1134"/>
      </w:tblGrid>
      <w:tr w:rsidR="00E05947" w:rsidRPr="00F13B83" w14:paraId="2B657ECA" w14:textId="77777777" w:rsidTr="00193245">
        <w:trPr>
          <w:cnfStyle w:val="100000000000" w:firstRow="1" w:lastRow="0" w:firstColumn="0" w:lastColumn="0" w:oddVBand="0" w:evenVBand="0" w:oddHBand="0" w:evenHBand="0" w:firstRowFirstColumn="0" w:firstRowLastColumn="0" w:lastRowFirstColumn="0" w:lastRowLastColumn="0"/>
          <w:trHeight w:val="340"/>
        </w:trPr>
        <w:tc>
          <w:tcPr>
            <w:tcW w:w="3402" w:type="dxa"/>
          </w:tcPr>
          <w:p w14:paraId="0E584C4B" w14:textId="77777777" w:rsidR="00E05947" w:rsidRPr="00061DC9" w:rsidRDefault="00E05947" w:rsidP="006B3E28">
            <w:pPr>
              <w:keepNext/>
            </w:pPr>
            <w:r w:rsidRPr="00061DC9">
              <w:t>Learning tool</w:t>
            </w:r>
          </w:p>
        </w:tc>
        <w:tc>
          <w:tcPr>
            <w:tcW w:w="1134" w:type="dxa"/>
          </w:tcPr>
          <w:p w14:paraId="6C73A3F2" w14:textId="77777777" w:rsidR="00E05947" w:rsidRPr="00F13B83" w:rsidRDefault="00E05947" w:rsidP="006B3E28">
            <w:pPr>
              <w:keepNext/>
            </w:pPr>
            <w:r w:rsidRPr="00F13B83">
              <w:t>Hours</w:t>
            </w:r>
          </w:p>
        </w:tc>
      </w:tr>
      <w:tr w:rsidR="006602AE" w:rsidRPr="00933A22" w14:paraId="7AAD6D45" w14:textId="77777777" w:rsidTr="00193245">
        <w:trPr>
          <w:trHeight w:val="340"/>
        </w:trPr>
        <w:tc>
          <w:tcPr>
            <w:tcW w:w="3402" w:type="dxa"/>
          </w:tcPr>
          <w:p w14:paraId="6FBDD93B"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Lectures</w:t>
            </w:r>
            <w:r>
              <w:rPr>
                <w:rFonts w:asciiTheme="minorHAnsi" w:hAnsiTheme="minorHAnsi" w:cstheme="minorHAnsi"/>
                <w:szCs w:val="22"/>
              </w:rPr>
              <w:t xml:space="preserve"> </w:t>
            </w:r>
            <w:r w:rsidR="00193245">
              <w:rPr>
                <w:rFonts w:asciiTheme="minorHAnsi" w:hAnsiTheme="minorHAnsi" w:cstheme="minorHAnsi"/>
                <w:szCs w:val="22"/>
              </w:rPr>
              <w:t xml:space="preserve">or </w:t>
            </w:r>
            <w:r>
              <w:rPr>
                <w:rFonts w:asciiTheme="minorHAnsi" w:hAnsiTheme="minorHAnsi" w:cstheme="minorHAnsi"/>
                <w:szCs w:val="22"/>
              </w:rPr>
              <w:t>seminars</w:t>
            </w:r>
          </w:p>
        </w:tc>
        <w:tc>
          <w:tcPr>
            <w:tcW w:w="1134" w:type="dxa"/>
          </w:tcPr>
          <w:p w14:paraId="6143A212" w14:textId="77777777" w:rsidR="006602AE" w:rsidRPr="00C43690" w:rsidRDefault="00193245" w:rsidP="006B3E28">
            <w:r>
              <w:t>30</w:t>
            </w:r>
          </w:p>
        </w:tc>
      </w:tr>
      <w:tr w:rsidR="006602AE" w:rsidRPr="00933A22" w14:paraId="50F195E4" w14:textId="77777777" w:rsidTr="00193245">
        <w:trPr>
          <w:trHeight w:val="340"/>
        </w:trPr>
        <w:tc>
          <w:tcPr>
            <w:tcW w:w="3402" w:type="dxa"/>
          </w:tcPr>
          <w:p w14:paraId="6A45DD03"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Specified Learning Activities</w:t>
            </w:r>
          </w:p>
        </w:tc>
        <w:tc>
          <w:tcPr>
            <w:tcW w:w="1134" w:type="dxa"/>
          </w:tcPr>
          <w:p w14:paraId="153C9A21" w14:textId="77777777" w:rsidR="006602AE" w:rsidRPr="00C43690" w:rsidRDefault="00193245" w:rsidP="006B3E28">
            <w:pPr>
              <w:rPr>
                <w:rFonts w:asciiTheme="minorHAnsi" w:hAnsiTheme="minorHAnsi" w:cstheme="minorHAnsi"/>
                <w:szCs w:val="22"/>
              </w:rPr>
            </w:pPr>
            <w:r>
              <w:rPr>
                <w:rFonts w:asciiTheme="minorHAnsi" w:hAnsiTheme="minorHAnsi" w:cstheme="minorHAnsi"/>
                <w:szCs w:val="22"/>
              </w:rPr>
              <w:t>70</w:t>
            </w:r>
          </w:p>
        </w:tc>
      </w:tr>
      <w:tr w:rsidR="006602AE" w:rsidRPr="00933A22" w14:paraId="4F0C94AA" w14:textId="77777777" w:rsidTr="00193245">
        <w:trPr>
          <w:trHeight w:val="340"/>
        </w:trPr>
        <w:tc>
          <w:tcPr>
            <w:tcW w:w="3402" w:type="dxa"/>
          </w:tcPr>
          <w:p w14:paraId="5F10249E"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 xml:space="preserve">Autonomous Student Learning </w:t>
            </w:r>
          </w:p>
        </w:tc>
        <w:tc>
          <w:tcPr>
            <w:tcW w:w="1134" w:type="dxa"/>
          </w:tcPr>
          <w:p w14:paraId="0959A49B" w14:textId="77777777" w:rsidR="006602AE" w:rsidRPr="00C43690" w:rsidRDefault="00193245" w:rsidP="006B3E28">
            <w:pPr>
              <w:rPr>
                <w:rFonts w:asciiTheme="minorHAnsi" w:hAnsiTheme="minorHAnsi" w:cstheme="minorHAnsi"/>
                <w:szCs w:val="22"/>
              </w:rPr>
            </w:pPr>
            <w:r>
              <w:rPr>
                <w:rFonts w:asciiTheme="minorHAnsi" w:hAnsiTheme="minorHAnsi" w:cstheme="minorHAnsi"/>
                <w:szCs w:val="22"/>
              </w:rPr>
              <w:t>100</w:t>
            </w:r>
          </w:p>
        </w:tc>
      </w:tr>
      <w:tr w:rsidR="006602AE" w:rsidRPr="00933A22" w14:paraId="4A9ABF9F" w14:textId="77777777" w:rsidTr="00193245">
        <w:trPr>
          <w:cnfStyle w:val="010000000000" w:firstRow="0" w:lastRow="1" w:firstColumn="0" w:lastColumn="0" w:oddVBand="0" w:evenVBand="0" w:oddHBand="0" w:evenHBand="0" w:firstRowFirstColumn="0" w:firstRowLastColumn="0" w:lastRowFirstColumn="0" w:lastRowLastColumn="0"/>
          <w:trHeight w:val="340"/>
        </w:trPr>
        <w:tc>
          <w:tcPr>
            <w:tcW w:w="3402" w:type="dxa"/>
          </w:tcPr>
          <w:p w14:paraId="30B02D1A"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Total Workload</w:t>
            </w:r>
          </w:p>
        </w:tc>
        <w:tc>
          <w:tcPr>
            <w:tcW w:w="1134" w:type="dxa"/>
          </w:tcPr>
          <w:p w14:paraId="71BF1522" w14:textId="77777777" w:rsidR="006602AE" w:rsidRPr="00C43690" w:rsidRDefault="00193245" w:rsidP="006B3E28">
            <w:pPr>
              <w:rPr>
                <w:rFonts w:asciiTheme="minorHAnsi" w:hAnsiTheme="minorHAnsi" w:cstheme="minorHAnsi"/>
                <w:szCs w:val="22"/>
              </w:rPr>
            </w:pPr>
            <w:r>
              <w:rPr>
                <w:rFonts w:asciiTheme="minorHAnsi" w:hAnsiTheme="minorHAnsi" w:cstheme="minorHAnsi"/>
                <w:szCs w:val="22"/>
              </w:rPr>
              <w:t>200</w:t>
            </w:r>
          </w:p>
        </w:tc>
      </w:tr>
    </w:tbl>
    <w:p w14:paraId="2DB623C9" w14:textId="77777777" w:rsidR="00A55B7E" w:rsidRPr="00F13B83" w:rsidRDefault="00A55B7E" w:rsidP="00CC6237">
      <w:pPr>
        <w:pStyle w:val="Heading2"/>
      </w:pPr>
      <w:r w:rsidRPr="00F13B83">
        <w:t>What learning supports are provided?</w:t>
      </w:r>
    </w:p>
    <w:p w14:paraId="3F879483" w14:textId="77777777" w:rsidR="00880AA1" w:rsidRDefault="00193245" w:rsidP="00CC6237">
      <w:pPr>
        <w:pStyle w:val="ListParagraph"/>
      </w:pPr>
      <w:r>
        <w:t>Students will be provided with key readings and links to films and other sources on a VLE. Students will be encouraged to make use of the extensive film holdings of the NCAD Library as well as the on-demand services to which it subscribes such as Alexander Street.</w:t>
      </w:r>
    </w:p>
    <w:p w14:paraId="4F592BCC" w14:textId="77777777" w:rsidR="00A55B7E" w:rsidRPr="00F3483A" w:rsidRDefault="00A55B7E" w:rsidP="00CC6237">
      <w:pPr>
        <w:pStyle w:val="Heading2"/>
      </w:pPr>
      <w:r w:rsidRPr="00F3483A">
        <w:lastRenderedPageBreak/>
        <w:t>Am I eligible to take this module?</w:t>
      </w:r>
    </w:p>
    <w:p w14:paraId="2AF21285" w14:textId="77777777" w:rsidR="00AC6C5C" w:rsidRPr="00AC6C5C" w:rsidRDefault="00AC6C5C" w:rsidP="00AD71F6">
      <w:pPr>
        <w:pStyle w:val="Heading3"/>
      </w:pPr>
      <w:r w:rsidRPr="00AC6C5C">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B61B1B" w:rsidRPr="00EC3621" w14:paraId="7CD9EED2"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23BD30E4" w14:textId="77777777" w:rsidR="00B61B1B" w:rsidRPr="00EC3621" w:rsidRDefault="00B61B1B" w:rsidP="006B3E28">
            <w:r>
              <w:t>Pre-requisites</w:t>
            </w:r>
          </w:p>
        </w:tc>
        <w:tc>
          <w:tcPr>
            <w:tcW w:w="7295" w:type="dxa"/>
          </w:tcPr>
          <w:p w14:paraId="2C0953A0" w14:textId="77777777" w:rsidR="00B61B1B" w:rsidRPr="002F16C3" w:rsidRDefault="00193245" w:rsidP="006B3E28">
            <w:pPr>
              <w:cnfStyle w:val="000000000000" w:firstRow="0" w:lastRow="0" w:firstColumn="0" w:lastColumn="0" w:oddVBand="0" w:evenVBand="0" w:oddHBand="0" w:evenHBand="0" w:firstRowFirstColumn="0" w:firstRowLastColumn="0" w:lastRowFirstColumn="0" w:lastRowLastColumn="0"/>
            </w:pPr>
            <w:r>
              <w:t>None</w:t>
            </w:r>
          </w:p>
        </w:tc>
      </w:tr>
      <w:tr w:rsidR="00B61B1B" w:rsidRPr="00EC3621" w14:paraId="69CA5993"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FABFC5A" w14:textId="77777777" w:rsidR="00B61B1B" w:rsidRDefault="00B61B1B" w:rsidP="006B3E28">
            <w:r>
              <w:t>Co-requisites</w:t>
            </w:r>
          </w:p>
        </w:tc>
        <w:tc>
          <w:tcPr>
            <w:tcW w:w="7295" w:type="dxa"/>
          </w:tcPr>
          <w:p w14:paraId="13FCF186" w14:textId="77777777" w:rsidR="00B61B1B" w:rsidRPr="00AA73CF" w:rsidRDefault="00193245" w:rsidP="006B3E28">
            <w:pPr>
              <w:cnfStyle w:val="000000000000" w:firstRow="0" w:lastRow="0" w:firstColumn="0" w:lastColumn="0" w:oddVBand="0" w:evenVBand="0" w:oddHBand="0" w:evenHBand="0" w:firstRowFirstColumn="0" w:firstRowLastColumn="0" w:lastRowFirstColumn="0" w:lastRowLastColumn="0"/>
            </w:pPr>
            <w:r>
              <w:t>None</w:t>
            </w:r>
          </w:p>
        </w:tc>
      </w:tr>
      <w:tr w:rsidR="00B61B1B" w:rsidRPr="00EC3621" w14:paraId="4C36A158"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12DB4993" w14:textId="77777777" w:rsidR="00B61B1B" w:rsidRPr="00061DC9" w:rsidRDefault="00B61B1B" w:rsidP="006B3E28">
            <w:r w:rsidRPr="00061DC9">
              <w:t>Incompatibles</w:t>
            </w:r>
          </w:p>
        </w:tc>
        <w:tc>
          <w:tcPr>
            <w:tcW w:w="7295" w:type="dxa"/>
          </w:tcPr>
          <w:p w14:paraId="01A258D5" w14:textId="77777777" w:rsidR="00B61B1B" w:rsidRPr="002F16C3" w:rsidRDefault="00193245" w:rsidP="006B3E28">
            <w:pPr>
              <w:cnfStyle w:val="000000000000" w:firstRow="0" w:lastRow="0" w:firstColumn="0" w:lastColumn="0" w:oddVBand="0" w:evenVBand="0" w:oddHBand="0" w:evenHBand="0" w:firstRowFirstColumn="0" w:firstRowLastColumn="0" w:lastRowFirstColumn="0" w:lastRowLastColumn="0"/>
            </w:pPr>
            <w:r>
              <w:t>None</w:t>
            </w:r>
          </w:p>
        </w:tc>
      </w:tr>
      <w:tr w:rsidR="00B61B1B" w:rsidRPr="00EC3621" w14:paraId="630DEE7A"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66D88F20" w14:textId="77777777" w:rsidR="00B61B1B" w:rsidRDefault="00B61B1B" w:rsidP="006B3E28">
            <w:r>
              <w:t>Prior learning</w:t>
            </w:r>
          </w:p>
        </w:tc>
        <w:tc>
          <w:tcPr>
            <w:tcW w:w="7295" w:type="dxa"/>
          </w:tcPr>
          <w:p w14:paraId="1CF7A1FB" w14:textId="77777777" w:rsidR="00B61B1B" w:rsidRPr="00FA5A67" w:rsidRDefault="00FA5A67" w:rsidP="006B3E28">
            <w:pPr>
              <w:cnfStyle w:val="000000000000" w:firstRow="0" w:lastRow="0" w:firstColumn="0" w:lastColumn="0" w:oddVBand="0" w:evenVBand="0" w:oddHBand="0" w:evenHBand="0" w:firstRowFirstColumn="0" w:firstRowLastColumn="0" w:lastRowFirstColumn="0" w:lastRowLastColumn="0"/>
            </w:pPr>
            <w:r>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B61B1B" w:rsidRPr="00EC3621" w14:paraId="20FA80B7"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2882A56C" w14:textId="77777777" w:rsidR="00B61B1B" w:rsidRDefault="00B61B1B" w:rsidP="006B3E28">
            <w:r>
              <w:t>Recommended</w:t>
            </w:r>
          </w:p>
        </w:tc>
        <w:tc>
          <w:tcPr>
            <w:tcW w:w="7295" w:type="dxa"/>
          </w:tcPr>
          <w:p w14:paraId="3710F7AD" w14:textId="77777777" w:rsidR="00B61B1B" w:rsidRPr="00AA73CF" w:rsidRDefault="00193245" w:rsidP="006B3E28">
            <w:pPr>
              <w:cnfStyle w:val="000000000000" w:firstRow="0" w:lastRow="0" w:firstColumn="0" w:lastColumn="0" w:oddVBand="0" w:evenVBand="0" w:oddHBand="0" w:evenHBand="0" w:firstRowFirstColumn="0" w:firstRowLastColumn="0" w:lastRowFirstColumn="0" w:lastRowLastColumn="0"/>
            </w:pPr>
            <w:r>
              <w:t>None</w:t>
            </w:r>
          </w:p>
        </w:tc>
      </w:tr>
    </w:tbl>
    <w:p w14:paraId="4528B04A" w14:textId="77777777" w:rsidR="00B61B1B" w:rsidRPr="00933A22" w:rsidRDefault="00B61B1B" w:rsidP="004C68FE">
      <w:pPr>
        <w:pStyle w:val="NoSpacing"/>
      </w:pPr>
    </w:p>
    <w:p w14:paraId="44FFEF7C" w14:textId="77777777" w:rsidR="00A55B7E" w:rsidRPr="00B61B1B" w:rsidRDefault="00A55B7E" w:rsidP="00CC6237">
      <w:pPr>
        <w:pStyle w:val="Heading2"/>
      </w:pPr>
      <w:r w:rsidRPr="00B61B1B">
        <w:t>How will I be assessed?</w:t>
      </w:r>
    </w:p>
    <w:tbl>
      <w:tblPr>
        <w:tblStyle w:val="GridTable2-Accent1"/>
        <w:tblW w:w="0" w:type="auto"/>
        <w:tblLook w:val="0660" w:firstRow="1" w:lastRow="1" w:firstColumn="0" w:lastColumn="0" w:noHBand="1" w:noVBand="1"/>
      </w:tblPr>
      <w:tblGrid>
        <w:gridCol w:w="3978"/>
        <w:gridCol w:w="1692"/>
        <w:gridCol w:w="3356"/>
      </w:tblGrid>
      <w:tr w:rsidR="00870FF0" w:rsidRPr="00B61B1B" w14:paraId="4E0AF06D" w14:textId="77777777" w:rsidTr="006B3E28">
        <w:trPr>
          <w:cnfStyle w:val="100000000000" w:firstRow="1" w:lastRow="0" w:firstColumn="0" w:lastColumn="0" w:oddVBand="0" w:evenVBand="0" w:oddHBand="0" w:evenHBand="0" w:firstRowFirstColumn="0" w:firstRowLastColumn="0" w:lastRowFirstColumn="0" w:lastRowLastColumn="0"/>
          <w:trHeight w:val="340"/>
        </w:trPr>
        <w:tc>
          <w:tcPr>
            <w:tcW w:w="3978" w:type="dxa"/>
          </w:tcPr>
          <w:p w14:paraId="29933167" w14:textId="77777777" w:rsidR="00870FF0" w:rsidRPr="00B61B1B" w:rsidRDefault="00870FF0" w:rsidP="006B3E28">
            <w:r w:rsidRPr="00B61B1B">
              <w:t>Assessment tool</w:t>
            </w:r>
          </w:p>
        </w:tc>
        <w:tc>
          <w:tcPr>
            <w:tcW w:w="1692" w:type="dxa"/>
          </w:tcPr>
          <w:p w14:paraId="0EDB0F97" w14:textId="77777777" w:rsidR="00870FF0" w:rsidRPr="00B61B1B" w:rsidRDefault="00870FF0" w:rsidP="006B3E28">
            <w:r w:rsidRPr="00B61B1B">
              <w:t>% of final grade</w:t>
            </w:r>
          </w:p>
        </w:tc>
        <w:tc>
          <w:tcPr>
            <w:tcW w:w="3356" w:type="dxa"/>
          </w:tcPr>
          <w:p w14:paraId="04F1DF2A" w14:textId="77777777" w:rsidR="00870FF0" w:rsidRPr="00B61B1B" w:rsidRDefault="00870FF0" w:rsidP="006B3E28">
            <w:r w:rsidRPr="00B61B1B">
              <w:t>Timing</w:t>
            </w:r>
          </w:p>
        </w:tc>
      </w:tr>
      <w:tr w:rsidR="00870FF0" w:rsidRPr="00B61B1B" w14:paraId="7F6106F1" w14:textId="77777777" w:rsidTr="006B3E28">
        <w:trPr>
          <w:trHeight w:val="340"/>
        </w:trPr>
        <w:tc>
          <w:tcPr>
            <w:tcW w:w="3978" w:type="dxa"/>
          </w:tcPr>
          <w:p w14:paraId="14B658D9" w14:textId="77777777" w:rsidR="00870FF0" w:rsidRPr="00B61B1B" w:rsidRDefault="00193245" w:rsidP="006B3E28">
            <w:r>
              <w:t>4,000 word illustrated essay</w:t>
            </w:r>
          </w:p>
        </w:tc>
        <w:tc>
          <w:tcPr>
            <w:tcW w:w="1692" w:type="dxa"/>
          </w:tcPr>
          <w:p w14:paraId="327B28BE" w14:textId="77777777" w:rsidR="00870FF0" w:rsidRPr="00B61B1B" w:rsidRDefault="00193245" w:rsidP="006B3E28">
            <w:r>
              <w:t>100%</w:t>
            </w:r>
          </w:p>
        </w:tc>
        <w:tc>
          <w:tcPr>
            <w:tcW w:w="3356" w:type="dxa"/>
          </w:tcPr>
          <w:p w14:paraId="39D6C56F" w14:textId="77777777" w:rsidR="00870FF0" w:rsidRPr="00B61B1B" w:rsidRDefault="00193245" w:rsidP="006B3E28">
            <w:r>
              <w:t>Circa week 12 of the trimester</w:t>
            </w:r>
          </w:p>
        </w:tc>
      </w:tr>
      <w:tr w:rsidR="00870FF0" w:rsidRPr="00B61B1B" w14:paraId="1D3C8A41" w14:textId="77777777" w:rsidTr="006B3E28">
        <w:trPr>
          <w:cnfStyle w:val="010000000000" w:firstRow="0" w:lastRow="1" w:firstColumn="0" w:lastColumn="0" w:oddVBand="0" w:evenVBand="0" w:oddHBand="0" w:evenHBand="0" w:firstRowFirstColumn="0" w:firstRowLastColumn="0" w:lastRowFirstColumn="0" w:lastRowLastColumn="0"/>
          <w:trHeight w:val="340"/>
        </w:trPr>
        <w:tc>
          <w:tcPr>
            <w:tcW w:w="3978" w:type="dxa"/>
          </w:tcPr>
          <w:p w14:paraId="485440AA" w14:textId="77777777" w:rsidR="00870FF0" w:rsidRPr="00B61B1B" w:rsidRDefault="00870FF0" w:rsidP="006B3E28">
            <w:pPr>
              <w:rPr>
                <w:szCs w:val="22"/>
              </w:rPr>
            </w:pPr>
            <w:r w:rsidRPr="00B61B1B">
              <w:rPr>
                <w:szCs w:val="22"/>
              </w:rPr>
              <w:t>Total</w:t>
            </w:r>
          </w:p>
        </w:tc>
        <w:tc>
          <w:tcPr>
            <w:tcW w:w="1692" w:type="dxa"/>
          </w:tcPr>
          <w:p w14:paraId="63419000" w14:textId="77777777" w:rsidR="00870FF0" w:rsidRPr="00B61B1B" w:rsidRDefault="00870FF0" w:rsidP="006B3E28">
            <w:pPr>
              <w:rPr>
                <w:szCs w:val="22"/>
              </w:rPr>
            </w:pPr>
            <w:r w:rsidRPr="00B61B1B">
              <w:rPr>
                <w:szCs w:val="22"/>
              </w:rPr>
              <w:t>100%</w:t>
            </w:r>
          </w:p>
        </w:tc>
        <w:tc>
          <w:tcPr>
            <w:tcW w:w="3356" w:type="dxa"/>
          </w:tcPr>
          <w:p w14:paraId="653E2C76" w14:textId="77777777" w:rsidR="00870FF0" w:rsidRPr="00B61B1B" w:rsidRDefault="00870FF0" w:rsidP="006B3E28">
            <w:pPr>
              <w:rPr>
                <w:szCs w:val="22"/>
              </w:rPr>
            </w:pPr>
          </w:p>
        </w:tc>
      </w:tr>
    </w:tbl>
    <w:p w14:paraId="36909BDB" w14:textId="77777777" w:rsidR="0007114E" w:rsidRPr="00B61B1B" w:rsidRDefault="0007114E" w:rsidP="00193245"/>
    <w:tbl>
      <w:tblPr>
        <w:tblStyle w:val="GridTable2-Accent1"/>
        <w:tblW w:w="0" w:type="auto"/>
        <w:tblLook w:val="0620" w:firstRow="1" w:lastRow="0" w:firstColumn="0" w:lastColumn="0" w:noHBand="1" w:noVBand="1"/>
      </w:tblPr>
      <w:tblGrid>
        <w:gridCol w:w="4395"/>
        <w:gridCol w:w="2835"/>
      </w:tblGrid>
      <w:tr w:rsidR="009F137F" w:rsidRPr="00B61B1B" w14:paraId="2BBFBAC6" w14:textId="77777777" w:rsidTr="006B3E28">
        <w:trPr>
          <w:cnfStyle w:val="100000000000" w:firstRow="1" w:lastRow="0" w:firstColumn="0" w:lastColumn="0" w:oddVBand="0" w:evenVBand="0" w:oddHBand="0" w:evenHBand="0" w:firstRowFirstColumn="0" w:firstRowLastColumn="0" w:lastRowFirstColumn="0" w:lastRowLastColumn="0"/>
          <w:trHeight w:val="340"/>
        </w:trPr>
        <w:tc>
          <w:tcPr>
            <w:tcW w:w="4395" w:type="dxa"/>
          </w:tcPr>
          <w:p w14:paraId="64B7FBE5" w14:textId="77777777" w:rsidR="009F137F" w:rsidRDefault="009F137F" w:rsidP="006B3E28">
            <w:r>
              <w:t>Assessment tool</w:t>
            </w:r>
          </w:p>
        </w:tc>
        <w:tc>
          <w:tcPr>
            <w:tcW w:w="2835" w:type="dxa"/>
          </w:tcPr>
          <w:p w14:paraId="01476A25" w14:textId="77777777" w:rsidR="009F137F" w:rsidRDefault="009F137F" w:rsidP="006B3E28">
            <w:r>
              <w:t>Learning outcomes assessed</w:t>
            </w:r>
          </w:p>
        </w:tc>
      </w:tr>
      <w:tr w:rsidR="009F137F" w:rsidRPr="00B61B1B" w14:paraId="789C23D2" w14:textId="77777777" w:rsidTr="006B3E28">
        <w:trPr>
          <w:trHeight w:val="340"/>
        </w:trPr>
        <w:tc>
          <w:tcPr>
            <w:tcW w:w="4395" w:type="dxa"/>
          </w:tcPr>
          <w:p w14:paraId="756D13A5" w14:textId="77777777" w:rsidR="009F137F" w:rsidRDefault="00193245" w:rsidP="006B3E28">
            <w:r>
              <w:t>Illustrated essay</w:t>
            </w:r>
          </w:p>
        </w:tc>
        <w:tc>
          <w:tcPr>
            <w:tcW w:w="2835" w:type="dxa"/>
          </w:tcPr>
          <w:p w14:paraId="7497A4DA" w14:textId="77777777" w:rsidR="009F137F" w:rsidRDefault="00193245" w:rsidP="006B3E28">
            <w:r>
              <w:t>All learning outcomes</w:t>
            </w:r>
          </w:p>
        </w:tc>
      </w:tr>
    </w:tbl>
    <w:p w14:paraId="19172D65" w14:textId="77777777" w:rsidR="00A55B7E" w:rsidRPr="00A55B7E" w:rsidRDefault="00A26CBD" w:rsidP="00CC6237">
      <w:pPr>
        <w:pStyle w:val="Heading2"/>
      </w:pPr>
      <w:r>
        <w:t>F</w:t>
      </w:r>
      <w:r w:rsidR="00A55B7E" w:rsidRPr="00A55B7E">
        <w:t>eedback, results and grading</w:t>
      </w:r>
    </w:p>
    <w:p w14:paraId="29354A25" w14:textId="77777777" w:rsidR="00880AA1" w:rsidRDefault="00193245" w:rsidP="00193245">
      <w:pPr>
        <w:pStyle w:val="ListParagraph"/>
      </w:pPr>
      <w:r>
        <w:t xml:space="preserve">Written feedback will be provided.  The essay will be assessed according to the </w:t>
      </w:r>
      <w:hyperlink r:id="rId9" w:history="1">
        <w:r w:rsidRPr="003B33C3">
          <w:rPr>
            <w:rStyle w:val="Hyperlink"/>
          </w:rPr>
          <w:t>NCAD Grade Descriptors</w:t>
        </w:r>
      </w:hyperlink>
      <w:r>
        <w:t>.</w:t>
      </w:r>
    </w:p>
    <w:p w14:paraId="7C6A27BB" w14:textId="77777777" w:rsidR="00A55B7E" w:rsidRPr="005270A5" w:rsidRDefault="00A55B7E" w:rsidP="00CC6237">
      <w:pPr>
        <w:pStyle w:val="Heading2"/>
      </w:pPr>
      <w:r w:rsidRPr="005270A5">
        <w:t>What happens if I fail?</w:t>
      </w:r>
    </w:p>
    <w:p w14:paraId="0F833D47" w14:textId="77777777" w:rsidR="0007114E" w:rsidRDefault="00D70D68" w:rsidP="00D70D68">
      <w:pPr>
        <w:pStyle w:val="Heading3"/>
      </w:pPr>
      <w:r>
        <w:t>Resit Opportunities</w:t>
      </w:r>
    </w:p>
    <w:p w14:paraId="38D28883" w14:textId="1963A635" w:rsidR="00880AA1" w:rsidRPr="00C43690" w:rsidRDefault="00D70D68" w:rsidP="00D70D68">
      <w:pPr>
        <w:pStyle w:val="ListParagraph"/>
      </w:pPr>
      <w:r>
        <w:t xml:space="preserve">Opportunities will be provided to students who do not complete all assessments in trimester </w:t>
      </w:r>
      <w:r w:rsidR="001E320A">
        <w:t>2</w:t>
      </w:r>
      <w:r>
        <w:t>, but students will not be able to quality for the award on completion of this programme until the learning outcomes of this module have been met.</w:t>
      </w:r>
      <w:bookmarkStart w:id="0" w:name="_GoBack"/>
      <w:bookmarkEnd w:id="0"/>
    </w:p>
    <w:p w14:paraId="7FCBDA82" w14:textId="77777777" w:rsidR="00A55B7E" w:rsidRPr="005270A5" w:rsidRDefault="00A55B7E" w:rsidP="00CC6237">
      <w:pPr>
        <w:pStyle w:val="Heading2"/>
      </w:pPr>
      <w:r w:rsidRPr="005270A5">
        <w:t>When and where is this module offered?</w:t>
      </w:r>
    </w:p>
    <w:p w14:paraId="4A8AB406" w14:textId="77777777" w:rsidR="00880AA1" w:rsidRPr="00AA73CF" w:rsidRDefault="00D70D68" w:rsidP="00CC6237">
      <w:pPr>
        <w:pStyle w:val="ListParagraph"/>
      </w:pPr>
      <w:r>
        <w:t>Venue to be confirmed, delivered in weeks 1-12 of trimester 2.</w:t>
      </w:r>
    </w:p>
    <w:p w14:paraId="46291B54" w14:textId="77777777" w:rsidR="00A55B7E" w:rsidRPr="000E40DB" w:rsidRDefault="00A55B7E" w:rsidP="00CC6237">
      <w:pPr>
        <w:pStyle w:val="Heading2"/>
      </w:pPr>
      <w:r w:rsidRPr="000E40DB">
        <w:t>How will I have the chance to evaluate the module?</w:t>
      </w:r>
    </w:p>
    <w:p w14:paraId="320A347E" w14:textId="77777777" w:rsidR="0007114E" w:rsidRPr="00933A22" w:rsidRDefault="0007114E" w:rsidP="00CC6237">
      <w:pPr>
        <w:pStyle w:val="ListParagraph"/>
      </w:pPr>
      <w:r w:rsidRPr="00933A22">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4C8C8A7B" w14:textId="77777777" w:rsidR="0007114E" w:rsidRPr="00933A22" w:rsidRDefault="0007114E" w:rsidP="00CC6237">
      <w:pPr>
        <w:pStyle w:val="ListParagraph"/>
      </w:pPr>
      <w:r w:rsidRPr="00933A22">
        <w:lastRenderedPageBreak/>
        <w:t xml:space="preserve">About </w:t>
      </w:r>
      <w:r>
        <w:t>two-thirds</w:t>
      </w:r>
      <w:r w:rsidRPr="00933A22">
        <w:t xml:space="preserve"> of the way through the </w:t>
      </w:r>
      <w:r w:rsidR="00A45088">
        <w:t>year</w:t>
      </w:r>
      <w:r w:rsidRPr="00933A22">
        <w:t xml:space="preserve">, a student forum will be convened to gather students’ comments about their study and the delivery of the programme.  In addition, at the end of </w:t>
      </w:r>
      <w:r>
        <w:t>Trimester</w:t>
      </w:r>
      <w:r w:rsidRPr="00933A22">
        <w:t xml:space="preserve"> 2, students have the opportunity to complete an online evaluation of their study and experience at NCAD.  </w:t>
      </w:r>
      <w:r w:rsidR="001F72AF">
        <w:t xml:space="preserve">Students are also encouraged to complete the Irish Student Survey of Engagement.  </w:t>
      </w:r>
      <w:r w:rsidRPr="00933A22">
        <w:t>These evaluation events are important to current and future students, to ensure we can enhance the delivery of programmes at NCAD.</w:t>
      </w:r>
    </w:p>
    <w:p w14:paraId="46A9802D" w14:textId="77777777" w:rsidR="00C61120" w:rsidRPr="00933A22" w:rsidRDefault="0007114E" w:rsidP="00CC6237">
      <w:pPr>
        <w:pStyle w:val="ListParagraph"/>
      </w:pPr>
      <w:r w:rsidRPr="00933A22">
        <w:t xml:space="preserve">In addition, </w:t>
      </w:r>
      <w:r w:rsidR="001F72AF">
        <w:t>students</w:t>
      </w:r>
      <w:r w:rsidRPr="00933A22">
        <w:t xml:space="preserve"> are invited to discuss </w:t>
      </w:r>
      <w:r w:rsidR="001F72AF">
        <w:t xml:space="preserve">their </w:t>
      </w:r>
      <w:r w:rsidRPr="00933A22">
        <w:t xml:space="preserve">experience on the module with </w:t>
      </w:r>
      <w:r w:rsidR="001F72AF">
        <w:t xml:space="preserve">their </w:t>
      </w:r>
      <w:r w:rsidRPr="00933A22">
        <w:t xml:space="preserve">lecturers at any point during the year.  </w:t>
      </w:r>
      <w:r w:rsidR="001F72AF">
        <w:t xml:space="preserve">Students </w:t>
      </w:r>
      <w:r w:rsidRPr="00933A22">
        <w:t xml:space="preserve">can also relay your comments to the class student representative who will communicate </w:t>
      </w:r>
      <w:r w:rsidR="001F72AF">
        <w:t xml:space="preserve">their </w:t>
      </w:r>
      <w:r w:rsidRPr="00933A22">
        <w:t>comments to the staff.</w:t>
      </w:r>
    </w:p>
    <w:p w14:paraId="6FA722F9" w14:textId="77777777" w:rsidR="00870FF0" w:rsidRPr="0007114E" w:rsidRDefault="00870FF0" w:rsidP="004C68FE">
      <w:pPr>
        <w:pStyle w:val="NoSpacing"/>
        <w:jc w:val="center"/>
        <w:rPr>
          <w:b/>
          <w:sz w:val="18"/>
        </w:rPr>
      </w:pPr>
      <w:r w:rsidRPr="0007114E">
        <w:rPr>
          <w:b/>
          <w:sz w:val="18"/>
        </w:rPr>
        <w:t>For further details on the content of your module and teaching arrangements</w:t>
      </w:r>
      <w:r w:rsidR="00245D85" w:rsidRPr="0007114E">
        <w:rPr>
          <w:b/>
          <w:sz w:val="18"/>
        </w:rPr>
        <w:t>,</w:t>
      </w:r>
      <w:r w:rsidR="00245D85" w:rsidRPr="0007114E">
        <w:rPr>
          <w:b/>
          <w:sz w:val="18"/>
        </w:rPr>
        <w:br/>
      </w:r>
      <w:r w:rsidRPr="0007114E">
        <w:rPr>
          <w:b/>
          <w:sz w:val="18"/>
        </w:rPr>
        <w:t xml:space="preserve">consult your </w:t>
      </w:r>
      <w:r w:rsidR="00370621" w:rsidRPr="0007114E">
        <w:rPr>
          <w:b/>
          <w:sz w:val="18"/>
        </w:rPr>
        <w:t>Programme or Module Handbook</w:t>
      </w:r>
    </w:p>
    <w:sectPr w:rsidR="00870FF0" w:rsidRPr="0007114E" w:rsidSect="005253F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1A26" w14:textId="77777777" w:rsidR="00482096" w:rsidRDefault="00482096" w:rsidP="00446F2B">
      <w:r>
        <w:separator/>
      </w:r>
    </w:p>
  </w:endnote>
  <w:endnote w:type="continuationSeparator" w:id="0">
    <w:p w14:paraId="6DAB3641" w14:textId="77777777" w:rsidR="00482096" w:rsidRDefault="00482096" w:rsidP="0044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58ED" w14:textId="77777777" w:rsidR="005253FB" w:rsidRPr="00C97AFE" w:rsidRDefault="005253FB" w:rsidP="005253FB">
    <w:pPr>
      <w:pStyle w:val="Footer"/>
      <w:pBdr>
        <w:top w:val="single" w:sz="4" w:space="1" w:color="5B9BD5" w:themeColor="accent1"/>
      </w:pBdr>
      <w:tabs>
        <w:tab w:val="clear" w:pos="4513"/>
        <w:tab w:val="center" w:pos="4820"/>
        <w:tab w:val="right" w:pos="9638"/>
      </w:tabs>
    </w:pPr>
    <w:r w:rsidRPr="00C97AFE">
      <w:t>[</w:t>
    </w:r>
    <w:r w:rsidRPr="005253FB">
      <w:rPr>
        <w:color w:val="FF0000"/>
      </w:rPr>
      <w:t>Code &amp; Full Module Name</w:t>
    </w:r>
    <w:r w:rsidRPr="00C97AFE">
      <w:t>]</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noProof/>
      </w:rPr>
      <w:t>2</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sidR="00FA5A67">
      <w:rPr>
        <w:bCs/>
        <w:noProof/>
      </w:rPr>
      <w:t>3</w:t>
    </w:r>
    <w:r w:rsidRPr="00C97AFE">
      <w:rPr>
        <w:bCs/>
      </w:rPr>
      <w:fldChar w:fldCharType="end"/>
    </w:r>
    <w:r w:rsidRPr="00C97AFE">
      <w:tab/>
      <w:t>Module Descriptor</w:t>
    </w:r>
  </w:p>
  <w:p w14:paraId="63DB2AA0" w14:textId="77777777" w:rsidR="005253FB" w:rsidRPr="00C97AFE" w:rsidRDefault="005253FB" w:rsidP="005253FB">
    <w:pPr>
      <w:pStyle w:val="Footer"/>
      <w:pBdr>
        <w:top w:val="none" w:sz="0" w:space="0" w:color="auto"/>
      </w:pBdr>
      <w:tabs>
        <w:tab w:val="clear" w:pos="4513"/>
        <w:tab w:val="center" w:pos="4820"/>
        <w:tab w:val="right" w:pos="9638"/>
      </w:tabs>
    </w:pPr>
    <w:r w:rsidRPr="00C97AFE">
      <w:t>Published: [</w:t>
    </w:r>
    <w:r>
      <w:rPr>
        <w:color w:val="FF0000"/>
      </w:rPr>
      <w:t>March 2020</w:t>
    </w:r>
    <w:r w:rsidRPr="00C97AFE">
      <w:t>]</w:t>
    </w:r>
    <w:r w:rsidRPr="00C97AFE">
      <w:tab/>
    </w:r>
    <w:r w:rsidRPr="00C97AFE">
      <w:tab/>
      <w:t>Next review: [</w:t>
    </w:r>
    <w:r w:rsidRPr="005253FB">
      <w:rPr>
        <w:color w:val="FF0000"/>
      </w:rPr>
      <w:t>June 2019</w:t>
    </w:r>
    <w:r w:rsidRPr="00C97AFE">
      <w:t>]</w:t>
    </w:r>
  </w:p>
  <w:p w14:paraId="69FF349C" w14:textId="77777777" w:rsidR="00E479F5" w:rsidRPr="00C97AFE" w:rsidRDefault="00C97AFE" w:rsidP="00C97AFE">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2CAC" w14:textId="77777777" w:rsidR="00101348" w:rsidRPr="00C97AFE" w:rsidRDefault="00101348" w:rsidP="00101348">
    <w:pPr>
      <w:pStyle w:val="Footer"/>
      <w:pBdr>
        <w:top w:val="single" w:sz="4" w:space="1" w:color="5B9BD5" w:themeColor="accent1"/>
      </w:pBdr>
      <w:tabs>
        <w:tab w:val="clear" w:pos="4513"/>
        <w:tab w:val="center" w:pos="4820"/>
        <w:tab w:val="right" w:pos="9638"/>
      </w:tabs>
    </w:pPr>
    <w:r>
      <w:t>VC3004 Visual Culture Special Subject</w:t>
    </w:r>
  </w:p>
  <w:p w14:paraId="3A88846C" w14:textId="77777777" w:rsidR="00101348" w:rsidRPr="00C97AFE" w:rsidRDefault="00101348" w:rsidP="00101348">
    <w:pPr>
      <w:pStyle w:val="Footer"/>
      <w:pBdr>
        <w:top w:val="none" w:sz="0" w:space="0" w:color="auto"/>
      </w:pBdr>
      <w:tabs>
        <w:tab w:val="clear" w:pos="4513"/>
        <w:tab w:val="center" w:pos="4820"/>
        <w:tab w:val="right" w:pos="9638"/>
      </w:tabs>
    </w:pPr>
    <w:r>
      <w:t>Module Descriptor</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rPr>
      <w:t>1</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Pr>
        <w:bCs/>
      </w:rPr>
      <w:t>4</w:t>
    </w:r>
    <w:r w:rsidRPr="00C97AFE">
      <w:rPr>
        <w:bCs/>
      </w:rPr>
      <w:fldChar w:fldCharType="end"/>
    </w:r>
    <w:r w:rsidRPr="00C97AFE">
      <w:tab/>
      <w:t xml:space="preserve">Published: </w:t>
    </w:r>
    <w:r>
      <w:t>Sept 2023</w:t>
    </w:r>
  </w:p>
  <w:p w14:paraId="44C97403" w14:textId="77777777" w:rsidR="00E479F5" w:rsidRPr="0018502E" w:rsidRDefault="0018502E" w:rsidP="0018502E">
    <w:pPr>
      <w:pStyle w:val="Footer"/>
      <w:pBdr>
        <w:top w:val="none" w:sz="0" w:space="0" w:color="auto"/>
      </w:pBdr>
      <w:jc w:val="center"/>
      <w:rPr>
        <w:bCs/>
        <w:i w:val="0"/>
        <w:sz w:val="16"/>
        <w:szCs w:val="20"/>
      </w:rPr>
    </w:pPr>
    <w:r>
      <w:rPr>
        <w:bCs/>
        <w:i w:val="0"/>
        <w:sz w:val="16"/>
        <w:szCs w:val="20"/>
      </w:rPr>
      <w:t xml:space="preserve">This document was prepared for NCAD students.  </w:t>
    </w:r>
    <w:r w:rsidR="00245D85">
      <w:rPr>
        <w:bCs/>
        <w:i w:val="0"/>
        <w:sz w:val="16"/>
        <w:szCs w:val="20"/>
      </w:rPr>
      <w:t>It</w:t>
    </w:r>
    <w:r>
      <w:rPr>
        <w:bCs/>
        <w:i w:val="0"/>
        <w:sz w:val="16"/>
        <w:szCs w:val="20"/>
      </w:rPr>
      <w:t xml:space="preserve">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5E3" w14:textId="31C42AE4" w:rsidR="00D70D68" w:rsidRPr="00C97AFE" w:rsidRDefault="00101348" w:rsidP="00D70D68">
    <w:pPr>
      <w:pStyle w:val="Footer"/>
      <w:pBdr>
        <w:top w:val="single" w:sz="4" w:space="1" w:color="5B9BD5" w:themeColor="accent1"/>
      </w:pBdr>
      <w:tabs>
        <w:tab w:val="clear" w:pos="4513"/>
        <w:tab w:val="center" w:pos="4820"/>
        <w:tab w:val="right" w:pos="9638"/>
      </w:tabs>
    </w:pPr>
    <w:r>
      <w:t xml:space="preserve">VC3004 </w:t>
    </w:r>
    <w:r w:rsidR="00D70D68">
      <w:t>Visual Culture Special Subject</w:t>
    </w:r>
  </w:p>
  <w:p w14:paraId="0EE6E509" w14:textId="3701A9FC" w:rsidR="00D70D68" w:rsidRPr="00C97AFE" w:rsidRDefault="00101348" w:rsidP="00D70D68">
    <w:pPr>
      <w:pStyle w:val="Footer"/>
      <w:pBdr>
        <w:top w:val="none" w:sz="0" w:space="0" w:color="auto"/>
      </w:pBdr>
      <w:tabs>
        <w:tab w:val="clear" w:pos="4513"/>
        <w:tab w:val="center" w:pos="4820"/>
        <w:tab w:val="right" w:pos="9638"/>
      </w:tabs>
    </w:pPr>
    <w:r>
      <w:t>Module Descriptor</w:t>
    </w:r>
    <w:r w:rsidR="00D70D68" w:rsidRPr="00C97AFE">
      <w:tab/>
      <w:t xml:space="preserve">Page </w:t>
    </w:r>
    <w:r w:rsidR="00D70D68" w:rsidRPr="00C97AFE">
      <w:rPr>
        <w:bCs/>
      </w:rPr>
      <w:fldChar w:fldCharType="begin"/>
    </w:r>
    <w:r w:rsidR="00D70D68" w:rsidRPr="00C97AFE">
      <w:rPr>
        <w:bCs/>
      </w:rPr>
      <w:instrText xml:space="preserve"> PAGE  \* Arabic  \* MERGEFORMAT </w:instrText>
    </w:r>
    <w:r w:rsidR="00D70D68" w:rsidRPr="00C97AFE">
      <w:rPr>
        <w:bCs/>
      </w:rPr>
      <w:fldChar w:fldCharType="separate"/>
    </w:r>
    <w:r w:rsidR="00D70D68">
      <w:rPr>
        <w:bCs/>
      </w:rPr>
      <w:t>2</w:t>
    </w:r>
    <w:r w:rsidR="00D70D68" w:rsidRPr="00C97AFE">
      <w:rPr>
        <w:bCs/>
      </w:rPr>
      <w:fldChar w:fldCharType="end"/>
    </w:r>
    <w:r w:rsidR="00D70D68" w:rsidRPr="00C97AFE">
      <w:t xml:space="preserve"> of </w:t>
    </w:r>
    <w:r w:rsidR="00D70D68" w:rsidRPr="00C97AFE">
      <w:rPr>
        <w:bCs/>
      </w:rPr>
      <w:fldChar w:fldCharType="begin"/>
    </w:r>
    <w:r w:rsidR="00D70D68" w:rsidRPr="00C97AFE">
      <w:rPr>
        <w:bCs/>
      </w:rPr>
      <w:instrText xml:space="preserve"> NUMPAGES  \* Arabic  \* MERGEFORMAT </w:instrText>
    </w:r>
    <w:r w:rsidR="00D70D68" w:rsidRPr="00C97AFE">
      <w:rPr>
        <w:bCs/>
      </w:rPr>
      <w:fldChar w:fldCharType="separate"/>
    </w:r>
    <w:r w:rsidR="00D70D68">
      <w:rPr>
        <w:bCs/>
      </w:rPr>
      <w:t>4</w:t>
    </w:r>
    <w:r w:rsidR="00D70D68" w:rsidRPr="00C97AFE">
      <w:rPr>
        <w:bCs/>
      </w:rPr>
      <w:fldChar w:fldCharType="end"/>
    </w:r>
    <w:r w:rsidR="00D70D68" w:rsidRPr="00C97AFE">
      <w:tab/>
    </w:r>
    <w:r w:rsidRPr="00C97AFE">
      <w:t xml:space="preserve">Published: </w:t>
    </w:r>
    <w:r>
      <w:t>Sept 2023</w:t>
    </w:r>
  </w:p>
  <w:p w14:paraId="4AED4F81" w14:textId="77777777" w:rsidR="0018502E" w:rsidRPr="00C97AFE" w:rsidRDefault="00C97AFE" w:rsidP="00C97AFE">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CA29F" w14:textId="77777777" w:rsidR="00482096" w:rsidRDefault="00482096" w:rsidP="00446F2B">
      <w:r>
        <w:separator/>
      </w:r>
    </w:p>
  </w:footnote>
  <w:footnote w:type="continuationSeparator" w:id="0">
    <w:p w14:paraId="6605C0F7" w14:textId="77777777" w:rsidR="00482096" w:rsidRDefault="00482096" w:rsidP="00446F2B">
      <w:r>
        <w:continuationSeparator/>
      </w:r>
    </w:p>
  </w:footnote>
  <w:footnote w:id="1">
    <w:p w14:paraId="2D1FE343" w14:textId="77777777" w:rsidR="00A60AB9" w:rsidRDefault="00A60AB9">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C7E2" w14:textId="77777777" w:rsidR="00E479F5" w:rsidRDefault="00EE2E96">
    <w:pPr>
      <w:pStyle w:val="Header"/>
    </w:pPr>
    <w:r>
      <w:rPr>
        <w:noProof/>
        <w:lang w:eastAsia="en-IE"/>
      </w:rPr>
      <w:drawing>
        <wp:inline distT="0" distB="0" distL="0" distR="0" wp14:anchorId="0B1FE864" wp14:editId="6222F315">
          <wp:extent cx="856800" cy="36000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68C" w14:textId="77777777" w:rsidR="00E479F5" w:rsidRDefault="00EE2E96" w:rsidP="00EE2E96">
    <w:pPr>
      <w:pStyle w:val="Header"/>
      <w:jc w:val="right"/>
    </w:pPr>
    <w:r>
      <w:rPr>
        <w:noProof/>
        <w:lang w:eastAsia="en-IE"/>
      </w:rPr>
      <w:drawing>
        <wp:inline distT="0" distB="0" distL="0" distR="0" wp14:anchorId="71D453A7" wp14:editId="799A2480">
          <wp:extent cx="856800"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7CF2" w14:textId="77777777" w:rsidR="007F45E2" w:rsidRDefault="00446F2B" w:rsidP="00E02FCD">
    <w:pPr>
      <w:pStyle w:val="Header"/>
      <w:tabs>
        <w:tab w:val="clear" w:pos="9026"/>
        <w:tab w:val="right" w:pos="13892"/>
      </w:tabs>
      <w:jc w:val="right"/>
    </w:pPr>
    <w:r>
      <w:rPr>
        <w:rFonts w:cs="Arial"/>
        <w:b/>
        <w:noProof/>
        <w:color w:val="0000FF"/>
        <w:szCs w:val="22"/>
        <w:lang w:eastAsia="en-IE"/>
      </w:rPr>
      <w:drawing>
        <wp:inline distT="0" distB="0" distL="0" distR="0" wp14:anchorId="29774600" wp14:editId="5FC53F72">
          <wp:extent cx="1257764" cy="540000"/>
          <wp:effectExtent l="0" t="0" r="0" b="0"/>
          <wp:docPr id="5" name="Picture 5" descr="NCAD logos-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AD logos-03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764"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873FA"/>
    <w:multiLevelType w:val="hybridMultilevel"/>
    <w:tmpl w:val="1A7E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731265"/>
    <w:multiLevelType w:val="hybridMultilevel"/>
    <w:tmpl w:val="4C8AD778"/>
    <w:lvl w:ilvl="0" w:tplc="A4861270">
      <w:start w:val="1"/>
      <w:numFmt w:val="decimal"/>
      <w:pStyle w:val="Heading2"/>
      <w:lvlText w:val="%1."/>
      <w:lvlJc w:val="left"/>
      <w:pPr>
        <w:ind w:left="720" w:hanging="360"/>
      </w:pPr>
      <w:rPr>
        <w:rFonts w:ascii="Calibri" w:hAnsi="Calibri" w:hint="default"/>
        <w:b w:val="0"/>
        <w:i w:val="0"/>
        <w:caps w:val="0"/>
        <w:strike w:val="0"/>
        <w:dstrike w:val="0"/>
        <w:vanish w:val="0"/>
        <w:color w:val="1F3864" w:themeColor="accent5" w:themeShade="80"/>
        <w:sz w:val="28"/>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3E53A9"/>
    <w:multiLevelType w:val="hybridMultilevel"/>
    <w:tmpl w:val="96386C7E"/>
    <w:lvl w:ilvl="0" w:tplc="B1A0DC50">
      <w:start w:val="1"/>
      <w:numFmt w:val="decimal"/>
      <w:lvlText w:val="%1."/>
      <w:lvlJc w:val="left"/>
      <w:pPr>
        <w:ind w:left="720" w:hanging="360"/>
      </w:pPr>
      <w:rPr>
        <w:rFonts w:ascii="Calibri" w:hAnsi="Calibri" w:hint="default"/>
        <w:b w:val="0"/>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830711"/>
    <w:multiLevelType w:val="hybridMultilevel"/>
    <w:tmpl w:val="D2C8D4A4"/>
    <w:lvl w:ilvl="0" w:tplc="53B25020">
      <w:start w:val="1"/>
      <w:numFmt w:val="bullet"/>
      <w:pStyle w:val="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9D1ABE"/>
    <w:multiLevelType w:val="hybridMultilevel"/>
    <w:tmpl w:val="1E502F58"/>
    <w:lvl w:ilvl="0" w:tplc="BB6EE5AA">
      <w:start w:val="1"/>
      <w:numFmt w:val="decimal"/>
      <w:pStyle w:val="Numbers"/>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74"/>
    <w:rsid w:val="000018BC"/>
    <w:rsid w:val="00034E45"/>
    <w:rsid w:val="00061DC9"/>
    <w:rsid w:val="0007114E"/>
    <w:rsid w:val="00091744"/>
    <w:rsid w:val="000A04CB"/>
    <w:rsid w:val="000B6369"/>
    <w:rsid w:val="000C3074"/>
    <w:rsid w:val="000C70A4"/>
    <w:rsid w:val="000E40DB"/>
    <w:rsid w:val="000E5CCE"/>
    <w:rsid w:val="00101348"/>
    <w:rsid w:val="001021D0"/>
    <w:rsid w:val="00104F7A"/>
    <w:rsid w:val="00132001"/>
    <w:rsid w:val="00182911"/>
    <w:rsid w:val="0018502E"/>
    <w:rsid w:val="00193245"/>
    <w:rsid w:val="00196813"/>
    <w:rsid w:val="001A4EB7"/>
    <w:rsid w:val="001C2BF3"/>
    <w:rsid w:val="001D1C4F"/>
    <w:rsid w:val="001E320A"/>
    <w:rsid w:val="001E42AF"/>
    <w:rsid w:val="001F72AF"/>
    <w:rsid w:val="0021062A"/>
    <w:rsid w:val="0021346F"/>
    <w:rsid w:val="00223CDF"/>
    <w:rsid w:val="00245D85"/>
    <w:rsid w:val="0025430B"/>
    <w:rsid w:val="002B5E00"/>
    <w:rsid w:val="002E5C3D"/>
    <w:rsid w:val="002E66B7"/>
    <w:rsid w:val="002F50D5"/>
    <w:rsid w:val="00352D7E"/>
    <w:rsid w:val="003555B3"/>
    <w:rsid w:val="00364BB0"/>
    <w:rsid w:val="00365DCD"/>
    <w:rsid w:val="00370621"/>
    <w:rsid w:val="00382D3A"/>
    <w:rsid w:val="00385656"/>
    <w:rsid w:val="003B33C3"/>
    <w:rsid w:val="003C0FA7"/>
    <w:rsid w:val="003E0C6A"/>
    <w:rsid w:val="003E27CC"/>
    <w:rsid w:val="003F0973"/>
    <w:rsid w:val="00412576"/>
    <w:rsid w:val="00446F2B"/>
    <w:rsid w:val="00451CC5"/>
    <w:rsid w:val="00482096"/>
    <w:rsid w:val="004B624B"/>
    <w:rsid w:val="004C3173"/>
    <w:rsid w:val="004C68FE"/>
    <w:rsid w:val="004E052B"/>
    <w:rsid w:val="004F01B3"/>
    <w:rsid w:val="004F2B38"/>
    <w:rsid w:val="005253FB"/>
    <w:rsid w:val="005270A5"/>
    <w:rsid w:val="00546777"/>
    <w:rsid w:val="0056197C"/>
    <w:rsid w:val="0058502F"/>
    <w:rsid w:val="00587520"/>
    <w:rsid w:val="00590EAA"/>
    <w:rsid w:val="005C0F38"/>
    <w:rsid w:val="005C56E1"/>
    <w:rsid w:val="005C5E27"/>
    <w:rsid w:val="005F4D42"/>
    <w:rsid w:val="005F7C4B"/>
    <w:rsid w:val="00605612"/>
    <w:rsid w:val="0062163D"/>
    <w:rsid w:val="006312FF"/>
    <w:rsid w:val="00640CA1"/>
    <w:rsid w:val="00653CDC"/>
    <w:rsid w:val="006602AE"/>
    <w:rsid w:val="0066058B"/>
    <w:rsid w:val="006814FA"/>
    <w:rsid w:val="00690DD7"/>
    <w:rsid w:val="00697269"/>
    <w:rsid w:val="006A44D5"/>
    <w:rsid w:val="006B3E28"/>
    <w:rsid w:val="006C4EAB"/>
    <w:rsid w:val="006D0502"/>
    <w:rsid w:val="006D56D4"/>
    <w:rsid w:val="006E281A"/>
    <w:rsid w:val="006E5941"/>
    <w:rsid w:val="006F24E6"/>
    <w:rsid w:val="00713979"/>
    <w:rsid w:val="00713BEF"/>
    <w:rsid w:val="00715047"/>
    <w:rsid w:val="0072298F"/>
    <w:rsid w:val="00744E9B"/>
    <w:rsid w:val="00746D33"/>
    <w:rsid w:val="0075064F"/>
    <w:rsid w:val="007B490A"/>
    <w:rsid w:val="007B4F22"/>
    <w:rsid w:val="007C4C90"/>
    <w:rsid w:val="007F3341"/>
    <w:rsid w:val="007F45E2"/>
    <w:rsid w:val="007F7592"/>
    <w:rsid w:val="00812398"/>
    <w:rsid w:val="00820283"/>
    <w:rsid w:val="00870FF0"/>
    <w:rsid w:val="00880AA1"/>
    <w:rsid w:val="00897B17"/>
    <w:rsid w:val="008A570D"/>
    <w:rsid w:val="008B1BE2"/>
    <w:rsid w:val="008B5246"/>
    <w:rsid w:val="008D6E01"/>
    <w:rsid w:val="008E1970"/>
    <w:rsid w:val="008F620F"/>
    <w:rsid w:val="00933A22"/>
    <w:rsid w:val="00993ADE"/>
    <w:rsid w:val="00995B76"/>
    <w:rsid w:val="009F137F"/>
    <w:rsid w:val="00A00745"/>
    <w:rsid w:val="00A04CB7"/>
    <w:rsid w:val="00A2461E"/>
    <w:rsid w:val="00A26CBD"/>
    <w:rsid w:val="00A374F6"/>
    <w:rsid w:val="00A45088"/>
    <w:rsid w:val="00A55B7E"/>
    <w:rsid w:val="00A60AB9"/>
    <w:rsid w:val="00AA73CF"/>
    <w:rsid w:val="00AA7751"/>
    <w:rsid w:val="00AC394F"/>
    <w:rsid w:val="00AC6C5C"/>
    <w:rsid w:val="00AD71F6"/>
    <w:rsid w:val="00B064DF"/>
    <w:rsid w:val="00B242BF"/>
    <w:rsid w:val="00B61B1B"/>
    <w:rsid w:val="00B96711"/>
    <w:rsid w:val="00BA4EFB"/>
    <w:rsid w:val="00BC29B8"/>
    <w:rsid w:val="00BF45F1"/>
    <w:rsid w:val="00C43690"/>
    <w:rsid w:val="00C61120"/>
    <w:rsid w:val="00C91188"/>
    <w:rsid w:val="00C97AFE"/>
    <w:rsid w:val="00CA03EA"/>
    <w:rsid w:val="00CB048D"/>
    <w:rsid w:val="00CC6237"/>
    <w:rsid w:val="00CD22A7"/>
    <w:rsid w:val="00CF1D87"/>
    <w:rsid w:val="00D17C26"/>
    <w:rsid w:val="00D70C17"/>
    <w:rsid w:val="00D70D68"/>
    <w:rsid w:val="00D715D4"/>
    <w:rsid w:val="00D86BAA"/>
    <w:rsid w:val="00DA4287"/>
    <w:rsid w:val="00DB59C1"/>
    <w:rsid w:val="00DC1FBA"/>
    <w:rsid w:val="00DC2CE9"/>
    <w:rsid w:val="00DC76FB"/>
    <w:rsid w:val="00DD01A6"/>
    <w:rsid w:val="00E0234E"/>
    <w:rsid w:val="00E02FCD"/>
    <w:rsid w:val="00E05947"/>
    <w:rsid w:val="00E10FD7"/>
    <w:rsid w:val="00E46B58"/>
    <w:rsid w:val="00E479F5"/>
    <w:rsid w:val="00E75478"/>
    <w:rsid w:val="00E83BC8"/>
    <w:rsid w:val="00EA7953"/>
    <w:rsid w:val="00EB2266"/>
    <w:rsid w:val="00EB3EFA"/>
    <w:rsid w:val="00EB4EB7"/>
    <w:rsid w:val="00EC78AF"/>
    <w:rsid w:val="00EE2E96"/>
    <w:rsid w:val="00EF3AE1"/>
    <w:rsid w:val="00F00818"/>
    <w:rsid w:val="00F13B83"/>
    <w:rsid w:val="00F14A3F"/>
    <w:rsid w:val="00F22113"/>
    <w:rsid w:val="00F3483A"/>
    <w:rsid w:val="00F34F60"/>
    <w:rsid w:val="00F51B6B"/>
    <w:rsid w:val="00F7083C"/>
    <w:rsid w:val="00F9371E"/>
    <w:rsid w:val="00F96753"/>
    <w:rsid w:val="00F96BAF"/>
    <w:rsid w:val="00FA5A67"/>
    <w:rsid w:val="00FA5A6D"/>
    <w:rsid w:val="00FB7ADE"/>
    <w:rsid w:val="00FD090F"/>
    <w:rsid w:val="00FD4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0E034"/>
  <w15:chartTrackingRefBased/>
  <w15:docId w15:val="{E8658D4B-72EA-41AB-9B7D-907A2545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F0"/>
    <w:rPr>
      <w:rFonts w:ascii="Calibri" w:eastAsia="Calibri" w:hAnsi="Calibri" w:cs="Times New Roman"/>
      <w:szCs w:val="24"/>
    </w:rPr>
  </w:style>
  <w:style w:type="paragraph" w:styleId="Heading1">
    <w:name w:val="heading 1"/>
    <w:basedOn w:val="MediumGrid21"/>
    <w:next w:val="Normal"/>
    <w:link w:val="Heading1Char"/>
    <w:uiPriority w:val="9"/>
    <w:qFormat/>
    <w:rsid w:val="00DC1FBA"/>
    <w:pPr>
      <w:jc w:val="center"/>
      <w:outlineLvl w:val="0"/>
    </w:pPr>
    <w:rPr>
      <w:rFonts w:ascii="Calibri" w:hAnsi="Calibri" w:cs="Times"/>
      <w:b/>
      <w:color w:val="1F3864" w:themeColor="accent5" w:themeShade="80"/>
      <w:sz w:val="36"/>
      <w:szCs w:val="22"/>
    </w:rPr>
  </w:style>
  <w:style w:type="paragraph" w:styleId="Heading2">
    <w:name w:val="heading 2"/>
    <w:basedOn w:val="NoSpacing"/>
    <w:next w:val="Normal"/>
    <w:link w:val="Heading2Char"/>
    <w:uiPriority w:val="9"/>
    <w:unhideWhenUsed/>
    <w:qFormat/>
    <w:rsid w:val="00546777"/>
    <w:pPr>
      <w:keepNext/>
      <w:keepLines/>
      <w:numPr>
        <w:numId w:val="4"/>
      </w:numPr>
      <w:pBdr>
        <w:bottom w:val="single" w:sz="8" w:space="1" w:color="2F5496" w:themeColor="accent5" w:themeShade="BF"/>
      </w:pBdr>
      <w:spacing w:before="360" w:after="120"/>
      <w:ind w:left="454" w:hanging="454"/>
      <w:outlineLvl w:val="1"/>
    </w:pPr>
    <w:rPr>
      <w:rFonts w:asciiTheme="minorHAnsi" w:eastAsiaTheme="majorEastAsia" w:hAnsiTheme="minorHAnsi" w:cstheme="minorHAnsi"/>
      <w:color w:val="1F3864" w:themeColor="accent5" w:themeShade="80"/>
      <w:sz w:val="28"/>
      <w:szCs w:val="26"/>
    </w:rPr>
  </w:style>
  <w:style w:type="paragraph" w:styleId="Heading3">
    <w:name w:val="heading 3"/>
    <w:basedOn w:val="Heading4"/>
    <w:next w:val="Normal"/>
    <w:link w:val="Heading3Char"/>
    <w:uiPriority w:val="9"/>
    <w:unhideWhenUsed/>
    <w:qFormat/>
    <w:rsid w:val="00AD71F6"/>
    <w:pPr>
      <w:keepNext/>
      <w:spacing w:before="240" w:after="120"/>
      <w:outlineLvl w:val="2"/>
    </w:pPr>
    <w:rPr>
      <w:sz w:val="24"/>
    </w:rPr>
  </w:style>
  <w:style w:type="paragraph" w:styleId="Heading4">
    <w:name w:val="heading 4"/>
    <w:basedOn w:val="Normal"/>
    <w:next w:val="Normal"/>
    <w:link w:val="Heading4Char"/>
    <w:uiPriority w:val="9"/>
    <w:unhideWhenUsed/>
    <w:qFormat/>
    <w:rsid w:val="00061DC9"/>
    <w:pPr>
      <w:outlineLvl w:val="3"/>
    </w:pPr>
    <w:rPr>
      <w:rFonts w:asciiTheme="minorHAnsi" w:hAnsiTheme="minorHAnsi" w:cstheme="minorHAnsi"/>
      <w:b/>
      <w:color w:val="1F3864" w:themeColor="accent5"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C68FE"/>
    <w:rPr>
      <w:sz w:val="20"/>
    </w:rPr>
  </w:style>
  <w:style w:type="paragraph" w:styleId="Header">
    <w:name w:val="header"/>
    <w:basedOn w:val="Normal"/>
    <w:link w:val="HeaderChar"/>
    <w:uiPriority w:val="99"/>
    <w:rsid w:val="00870FF0"/>
    <w:pPr>
      <w:tabs>
        <w:tab w:val="center" w:pos="4513"/>
        <w:tab w:val="right" w:pos="9026"/>
      </w:tabs>
    </w:pPr>
  </w:style>
  <w:style w:type="character" w:customStyle="1" w:styleId="HeaderChar">
    <w:name w:val="Header Char"/>
    <w:basedOn w:val="DefaultParagraphFont"/>
    <w:link w:val="Header"/>
    <w:uiPriority w:val="99"/>
    <w:rsid w:val="00870FF0"/>
    <w:rPr>
      <w:rFonts w:ascii="Calibri" w:eastAsia="Calibri" w:hAnsi="Calibri" w:cs="Times New Roman"/>
      <w:szCs w:val="24"/>
    </w:rPr>
  </w:style>
  <w:style w:type="paragraph" w:styleId="Footer">
    <w:name w:val="footer"/>
    <w:basedOn w:val="Normal"/>
    <w:link w:val="FooterChar"/>
    <w:uiPriority w:val="99"/>
    <w:qFormat/>
    <w:rsid w:val="0066058B"/>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66058B"/>
    <w:rPr>
      <w:rFonts w:ascii="Calibri" w:eastAsia="Calibri" w:hAnsi="Calibri" w:cs="Times New Roman"/>
      <w:i/>
      <w:sz w:val="18"/>
      <w:szCs w:val="24"/>
    </w:rPr>
  </w:style>
  <w:style w:type="character" w:styleId="CommentReference">
    <w:name w:val="annotation reference"/>
    <w:basedOn w:val="DefaultParagraphFont"/>
    <w:uiPriority w:val="99"/>
    <w:semiHidden/>
    <w:unhideWhenUsed/>
    <w:rsid w:val="00870FF0"/>
    <w:rPr>
      <w:sz w:val="16"/>
      <w:szCs w:val="16"/>
    </w:rPr>
  </w:style>
  <w:style w:type="paragraph" w:styleId="CommentText">
    <w:name w:val="annotation text"/>
    <w:basedOn w:val="Normal"/>
    <w:link w:val="CommentTextChar"/>
    <w:uiPriority w:val="99"/>
    <w:unhideWhenUsed/>
    <w:rsid w:val="00870FF0"/>
    <w:rPr>
      <w:sz w:val="20"/>
      <w:szCs w:val="20"/>
    </w:rPr>
  </w:style>
  <w:style w:type="character" w:customStyle="1" w:styleId="CommentTextChar">
    <w:name w:val="Comment Text Char"/>
    <w:basedOn w:val="DefaultParagraphFont"/>
    <w:link w:val="CommentText"/>
    <w:uiPriority w:val="99"/>
    <w:rsid w:val="00870FF0"/>
    <w:rPr>
      <w:rFonts w:ascii="Calibri" w:eastAsia="Calibri" w:hAnsi="Calibri" w:cs="Times New Roman"/>
      <w:sz w:val="20"/>
      <w:szCs w:val="20"/>
    </w:rPr>
  </w:style>
  <w:style w:type="character" w:styleId="Hyperlink">
    <w:name w:val="Hyperlink"/>
    <w:basedOn w:val="DefaultParagraphFont"/>
    <w:uiPriority w:val="99"/>
    <w:unhideWhenUsed/>
    <w:rsid w:val="00870FF0"/>
    <w:rPr>
      <w:color w:val="0563C1" w:themeColor="hyperlink"/>
      <w:u w:val="single"/>
    </w:rPr>
  </w:style>
  <w:style w:type="paragraph" w:styleId="ListParagraph">
    <w:name w:val="List Paragraph"/>
    <w:basedOn w:val="Normal"/>
    <w:link w:val="ListParagraphChar"/>
    <w:uiPriority w:val="34"/>
    <w:qFormat/>
    <w:rsid w:val="00CC6237"/>
    <w:pPr>
      <w:spacing w:before="120" w:after="120" w:line="276" w:lineRule="auto"/>
    </w:pPr>
    <w:rPr>
      <w:szCs w:val="22"/>
    </w:rPr>
  </w:style>
  <w:style w:type="paragraph" w:styleId="BalloonText">
    <w:name w:val="Balloon Text"/>
    <w:basedOn w:val="Normal"/>
    <w:link w:val="BalloonTextChar"/>
    <w:uiPriority w:val="99"/>
    <w:semiHidden/>
    <w:unhideWhenUsed/>
    <w:rsid w:val="00870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F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8502F"/>
    <w:rPr>
      <w:b/>
      <w:bCs/>
    </w:rPr>
  </w:style>
  <w:style w:type="character" w:customStyle="1" w:styleId="CommentSubjectChar">
    <w:name w:val="Comment Subject Char"/>
    <w:basedOn w:val="CommentTextChar"/>
    <w:link w:val="CommentSubject"/>
    <w:uiPriority w:val="99"/>
    <w:semiHidden/>
    <w:rsid w:val="0058502F"/>
    <w:rPr>
      <w:rFonts w:ascii="Calibri" w:eastAsia="Calibri" w:hAnsi="Calibri" w:cs="Times New Roman"/>
      <w:b/>
      <w:bCs/>
      <w:sz w:val="20"/>
      <w:szCs w:val="20"/>
    </w:rPr>
  </w:style>
  <w:style w:type="table" w:styleId="TableGrid">
    <w:name w:val="Table Grid"/>
    <w:basedOn w:val="TableNormal"/>
    <w:uiPriority w:val="39"/>
    <w:rsid w:val="008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0AB9"/>
    <w:rPr>
      <w:sz w:val="20"/>
      <w:szCs w:val="20"/>
    </w:rPr>
  </w:style>
  <w:style w:type="character" w:customStyle="1" w:styleId="FootnoteTextChar">
    <w:name w:val="Footnote Text Char"/>
    <w:basedOn w:val="DefaultParagraphFont"/>
    <w:link w:val="FootnoteText"/>
    <w:uiPriority w:val="99"/>
    <w:semiHidden/>
    <w:rsid w:val="00A60AB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0AB9"/>
    <w:rPr>
      <w:vertAlign w:val="superscript"/>
    </w:rPr>
  </w:style>
  <w:style w:type="paragraph" w:customStyle="1" w:styleId="MediumGrid21">
    <w:name w:val="Medium Grid 21"/>
    <w:semiHidden/>
    <w:qFormat/>
    <w:rsid w:val="00DD01A6"/>
    <w:rPr>
      <w:rFonts w:ascii="Cambria" w:eastAsia="Times New Roman" w:hAnsi="Cambria" w:cs="Times New Roman"/>
      <w:sz w:val="24"/>
      <w:szCs w:val="24"/>
    </w:rPr>
  </w:style>
  <w:style w:type="table" w:styleId="GridTable2-Accent5">
    <w:name w:val="Grid Table 2 Accent 5"/>
    <w:basedOn w:val="TableNormal"/>
    <w:uiPriority w:val="47"/>
    <w:rsid w:val="00DD01A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DD01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640CA1"/>
    <w:pPr>
      <w:numPr>
        <w:numId w:val="1"/>
      </w:numPr>
      <w:spacing w:after="0"/>
      <w:ind w:left="714" w:hanging="357"/>
    </w:pPr>
  </w:style>
  <w:style w:type="character" w:customStyle="1" w:styleId="Heading1Char">
    <w:name w:val="Heading 1 Char"/>
    <w:basedOn w:val="DefaultParagraphFont"/>
    <w:link w:val="Heading1"/>
    <w:uiPriority w:val="9"/>
    <w:rsid w:val="00DC1FBA"/>
    <w:rPr>
      <w:rFonts w:ascii="Calibri" w:eastAsia="Times New Roman" w:hAnsi="Calibri" w:cs="Times"/>
      <w:b/>
      <w:color w:val="1F3864" w:themeColor="accent5" w:themeShade="80"/>
      <w:sz w:val="36"/>
    </w:rPr>
  </w:style>
  <w:style w:type="character" w:customStyle="1" w:styleId="ListParagraphChar">
    <w:name w:val="List Paragraph Char"/>
    <w:basedOn w:val="DefaultParagraphFont"/>
    <w:link w:val="ListParagraph"/>
    <w:uiPriority w:val="34"/>
    <w:rsid w:val="00CC6237"/>
    <w:rPr>
      <w:rFonts w:ascii="Calibri" w:eastAsia="Calibri" w:hAnsi="Calibri" w:cs="Times New Roman"/>
    </w:rPr>
  </w:style>
  <w:style w:type="character" w:customStyle="1" w:styleId="BulletsChar">
    <w:name w:val="Bullets Char"/>
    <w:basedOn w:val="ListParagraphChar"/>
    <w:link w:val="Bullets"/>
    <w:rsid w:val="00640CA1"/>
    <w:rPr>
      <w:rFonts w:ascii="Calibri" w:eastAsia="Calibri" w:hAnsi="Calibri" w:cs="Times New Roman"/>
      <w:szCs w:val="24"/>
    </w:rPr>
  </w:style>
  <w:style w:type="character" w:customStyle="1" w:styleId="Heading2Char">
    <w:name w:val="Heading 2 Char"/>
    <w:basedOn w:val="DefaultParagraphFont"/>
    <w:link w:val="Heading2"/>
    <w:uiPriority w:val="9"/>
    <w:rsid w:val="00546777"/>
    <w:rPr>
      <w:rFonts w:asciiTheme="minorHAnsi" w:eastAsiaTheme="majorEastAsia" w:hAnsiTheme="minorHAnsi" w:cstheme="minorHAnsi"/>
      <w:color w:val="1F3864" w:themeColor="accent5" w:themeShade="80"/>
      <w:sz w:val="28"/>
      <w:szCs w:val="26"/>
    </w:rPr>
  </w:style>
  <w:style w:type="character" w:customStyle="1" w:styleId="Heading3Char">
    <w:name w:val="Heading 3 Char"/>
    <w:basedOn w:val="DefaultParagraphFont"/>
    <w:link w:val="Heading3"/>
    <w:uiPriority w:val="9"/>
    <w:rsid w:val="00AD71F6"/>
    <w:rPr>
      <w:rFonts w:asciiTheme="minorHAnsi" w:eastAsia="Calibri" w:hAnsiTheme="minorHAnsi" w:cstheme="minorHAnsi"/>
      <w:b/>
      <w:color w:val="1F3864" w:themeColor="accent5" w:themeShade="80"/>
      <w:sz w:val="24"/>
    </w:rPr>
  </w:style>
  <w:style w:type="character" w:customStyle="1" w:styleId="Heading4Char">
    <w:name w:val="Heading 4 Char"/>
    <w:basedOn w:val="DefaultParagraphFont"/>
    <w:link w:val="Heading4"/>
    <w:uiPriority w:val="9"/>
    <w:rsid w:val="00061DC9"/>
    <w:rPr>
      <w:rFonts w:asciiTheme="minorHAnsi" w:eastAsia="Calibri" w:hAnsiTheme="minorHAnsi" w:cstheme="minorHAnsi"/>
      <w:b/>
      <w:color w:val="1F3864" w:themeColor="accent5" w:themeShade="80"/>
    </w:rPr>
  </w:style>
  <w:style w:type="paragraph" w:styleId="Revision">
    <w:name w:val="Revision"/>
    <w:hidden/>
    <w:uiPriority w:val="99"/>
    <w:semiHidden/>
    <w:rsid w:val="005C56E1"/>
    <w:rPr>
      <w:rFonts w:ascii="Calibri" w:eastAsia="Calibri" w:hAnsi="Calibri" w:cs="Times New Roman"/>
      <w:szCs w:val="24"/>
    </w:rPr>
  </w:style>
  <w:style w:type="paragraph" w:customStyle="1" w:styleId="Numbers">
    <w:name w:val="Numbers"/>
    <w:basedOn w:val="ListParagraph"/>
    <w:link w:val="NumbersChar"/>
    <w:qFormat/>
    <w:rsid w:val="00CC6237"/>
    <w:pPr>
      <w:numPr>
        <w:numId w:val="5"/>
      </w:numPr>
      <w:spacing w:after="0"/>
      <w:ind w:left="714" w:hanging="357"/>
    </w:pPr>
    <w:rPr>
      <w:szCs w:val="24"/>
    </w:rPr>
  </w:style>
  <w:style w:type="character" w:customStyle="1" w:styleId="NumbersChar">
    <w:name w:val="Numbers Char"/>
    <w:basedOn w:val="ListParagraphChar"/>
    <w:link w:val="Numbers"/>
    <w:rsid w:val="00CC6237"/>
    <w:rPr>
      <w:rFonts w:ascii="Calibri" w:eastAsia="Calibri" w:hAnsi="Calibri" w:cs="Times New Roman"/>
      <w:szCs w:val="24"/>
    </w:rPr>
  </w:style>
  <w:style w:type="paragraph" w:customStyle="1" w:styleId="Default">
    <w:name w:val="Default"/>
    <w:rsid w:val="00FA5A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B33C3"/>
    <w:rPr>
      <w:color w:val="605E5C"/>
      <w:shd w:val="clear" w:color="auto" w:fill="E1DFDD"/>
    </w:rPr>
  </w:style>
  <w:style w:type="table" w:styleId="GridTable2-Accent1">
    <w:name w:val="Grid Table 2 Accent 1"/>
    <w:basedOn w:val="TableNormal"/>
    <w:uiPriority w:val="47"/>
    <w:rsid w:val="006B3E2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8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ualculture@staff.ncad.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ad.ie/files/download/NCAD_Grade_Descriptors.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callaghank\Documents\Custom%20Office%20Templates\Module%20Descriptor%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E371-C39C-924D-8B4D-AC3D5DE3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S:\ocallaghank\Documents\Custom Office Templates\Module Descriptor Blank Template.dotx</Template>
  <TotalTime>17</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Module Descriptor Blank Template</vt:lpstr>
    </vt:vector>
  </TitlesOfParts>
  <Manager>Siun Hanrahan</Manager>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TBC Visual Culture Special Subject ModDesc</dc:title>
  <dc:subject>Module Descriptor 2021</dc:subject>
  <dc:creator>Kilian O'Callaghan;David Crowley</dc:creator>
  <cp:keywords>Quality Assurance;2023;Visual Culture;Programme Development</cp:keywords>
  <dc:description/>
  <cp:lastModifiedBy>Microsoft Office User</cp:lastModifiedBy>
  <cp:revision>6</cp:revision>
  <dcterms:created xsi:type="dcterms:W3CDTF">2023-07-14T10:24:00Z</dcterms:created>
  <dcterms:modified xsi:type="dcterms:W3CDTF">2023-10-15T12:10:00Z</dcterms:modified>
</cp:coreProperties>
</file>