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7B16" w14:textId="5346BCCB" w:rsidR="00637D37" w:rsidRPr="00C84853" w:rsidRDefault="00DB45BB" w:rsidP="00C84853">
      <w:pPr>
        <w:pStyle w:val="Heading1"/>
        <w:keepNext w:val="0"/>
        <w:keepLines w:val="0"/>
        <w:spacing w:before="0" w:after="0"/>
        <w:jc w:val="center"/>
        <w:rPr>
          <w:rFonts w:eastAsia="Times New Roman" w:cs="Times"/>
          <w:color w:val="1F3864" w:themeColor="accent5" w:themeShade="80"/>
          <w:sz w:val="36"/>
          <w:szCs w:val="22"/>
        </w:rPr>
      </w:pPr>
      <w:r>
        <w:rPr>
          <w:rFonts w:eastAsia="Times New Roman" w:cs="Times"/>
          <w:color w:val="1F3864" w:themeColor="accent5" w:themeShade="80"/>
          <w:sz w:val="36"/>
          <w:szCs w:val="22"/>
        </w:rPr>
        <w:t>Visual Culture Placement</w:t>
      </w:r>
    </w:p>
    <w:p w14:paraId="3E4EB536" w14:textId="77777777" w:rsidR="00637D37" w:rsidRPr="00C84853" w:rsidRDefault="00C87FE2" w:rsidP="00C84853">
      <w:pPr>
        <w:pStyle w:val="Heading1"/>
        <w:keepNext w:val="0"/>
        <w:keepLines w:val="0"/>
        <w:spacing w:before="0" w:after="0"/>
        <w:jc w:val="center"/>
        <w:rPr>
          <w:rFonts w:eastAsia="Times New Roman" w:cs="Times"/>
          <w:color w:val="1F3864" w:themeColor="accent5" w:themeShade="80"/>
          <w:sz w:val="32"/>
          <w:szCs w:val="22"/>
        </w:rPr>
      </w:pPr>
      <w:r w:rsidRPr="00C84853">
        <w:rPr>
          <w:rFonts w:eastAsia="Times New Roman" w:cs="Times"/>
          <w:color w:val="1F3864" w:themeColor="accent5" w:themeShade="80"/>
          <w:sz w:val="32"/>
          <w:szCs w:val="22"/>
        </w:rPr>
        <w:t>VC3-3</w:t>
      </w:r>
    </w:p>
    <w:p w14:paraId="6C8AB7A0" w14:textId="77777777" w:rsidR="00637D37" w:rsidRPr="00C84853" w:rsidRDefault="00637D37" w:rsidP="00C84853"/>
    <w:p w14:paraId="20B35B41" w14:textId="77777777" w:rsidR="00637D37" w:rsidRPr="00C84853" w:rsidRDefault="00C87FE2" w:rsidP="00C84853">
      <w:pPr>
        <w:pStyle w:val="Heading1"/>
        <w:keepNext w:val="0"/>
        <w:keepLines w:val="0"/>
        <w:spacing w:before="0" w:after="0"/>
        <w:jc w:val="center"/>
        <w:rPr>
          <w:rFonts w:eastAsia="Times New Roman" w:cs="Times"/>
          <w:color w:val="1F3864" w:themeColor="accent5" w:themeShade="80"/>
          <w:sz w:val="36"/>
          <w:szCs w:val="22"/>
        </w:rPr>
      </w:pPr>
      <w:r w:rsidRPr="00C84853">
        <w:rPr>
          <w:rFonts w:eastAsia="Times New Roman" w:cs="Times"/>
          <w:color w:val="1F3864" w:themeColor="accent5" w:themeShade="80"/>
          <w:sz w:val="36"/>
          <w:szCs w:val="22"/>
        </w:rPr>
        <w:t>MODULE DESCRIPTOR</w:t>
      </w:r>
    </w:p>
    <w:p w14:paraId="1BC09645" w14:textId="77777777" w:rsidR="00637D37" w:rsidRPr="00666094" w:rsidRDefault="00637D37">
      <w:pPr>
        <w:rPr>
          <w:rFonts w:cs="Calibri"/>
          <w:color w:val="000000"/>
          <w:sz w:val="20"/>
          <w:szCs w:val="20"/>
        </w:rPr>
      </w:pPr>
    </w:p>
    <w:tbl>
      <w:tblPr>
        <w:tblStyle w:val="a"/>
        <w:tblW w:w="9026" w:type="dxa"/>
        <w:tblBorders>
          <w:top w:val="single" w:sz="4" w:space="0" w:color="8EAADB"/>
          <w:left w:val="single" w:sz="4" w:space="0" w:color="B4C6E7"/>
          <w:bottom w:val="single" w:sz="4" w:space="0" w:color="8EAADB"/>
          <w:right w:val="single" w:sz="4" w:space="0" w:color="B4C6E7"/>
          <w:insideH w:val="single" w:sz="4" w:space="0" w:color="8EAADB"/>
          <w:insideV w:val="single" w:sz="4" w:space="0" w:color="8EAADB"/>
        </w:tblBorders>
        <w:tblLayout w:type="fixed"/>
        <w:tblLook w:val="0200" w:firstRow="0" w:lastRow="0" w:firstColumn="0" w:lastColumn="0" w:noHBand="1" w:noVBand="0"/>
      </w:tblPr>
      <w:tblGrid>
        <w:gridCol w:w="1522"/>
        <w:gridCol w:w="982"/>
        <w:gridCol w:w="2357"/>
        <w:gridCol w:w="4165"/>
      </w:tblGrid>
      <w:tr w:rsidR="00637D37" w:rsidRPr="00C84853" w14:paraId="0982CA9C"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46519DBF" w14:textId="3EDB8493" w:rsidR="00637D37" w:rsidRPr="00C84853" w:rsidRDefault="00C87FE2">
            <w:pPr>
              <w:pStyle w:val="Heading4"/>
              <w:outlineLvl w:val="3"/>
            </w:pPr>
            <w:r w:rsidRPr="00C84853">
              <w:t>ECTS credits</w:t>
            </w:r>
            <w:r w:rsidR="00682EA1" w:rsidRPr="00C84853">
              <w:footnoteReference w:id="1"/>
            </w:r>
          </w:p>
        </w:tc>
        <w:tc>
          <w:tcPr>
            <w:tcW w:w="982" w:type="dxa"/>
          </w:tcPr>
          <w:p w14:paraId="441D8992" w14:textId="77777777" w:rsidR="00637D37" w:rsidRPr="00C84853" w:rsidRDefault="00C87FE2">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5</w:t>
            </w:r>
          </w:p>
        </w:tc>
        <w:tc>
          <w:tcPr>
            <w:cnfStyle w:val="000010000000" w:firstRow="0" w:lastRow="0" w:firstColumn="0" w:lastColumn="0" w:oddVBand="1" w:evenVBand="0" w:oddHBand="0" w:evenHBand="0" w:firstRowFirstColumn="0" w:firstRowLastColumn="0" w:lastRowFirstColumn="0" w:lastRowLastColumn="0"/>
            <w:tcW w:w="2357" w:type="dxa"/>
          </w:tcPr>
          <w:p w14:paraId="3C337012" w14:textId="77777777" w:rsidR="00637D37" w:rsidRPr="00C84853" w:rsidRDefault="00C87FE2">
            <w:pPr>
              <w:pStyle w:val="Heading4"/>
              <w:outlineLvl w:val="3"/>
            </w:pPr>
            <w:r w:rsidRPr="00C84853">
              <w:t>Programme</w:t>
            </w:r>
          </w:p>
        </w:tc>
        <w:tc>
          <w:tcPr>
            <w:tcW w:w="4165" w:type="dxa"/>
          </w:tcPr>
          <w:p w14:paraId="1C5F27B3" w14:textId="293676C4"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BA Visual Culture</w:t>
            </w:r>
          </w:p>
        </w:tc>
      </w:tr>
      <w:tr w:rsidR="00637D37" w:rsidRPr="00C84853" w14:paraId="4A349316"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79A36835" w14:textId="77777777" w:rsidR="00637D37" w:rsidRPr="00C84853" w:rsidRDefault="00C87FE2">
            <w:pPr>
              <w:pStyle w:val="Heading4"/>
              <w:outlineLvl w:val="3"/>
            </w:pPr>
            <w:r w:rsidRPr="00C84853">
              <w:t>NQF level</w:t>
            </w:r>
          </w:p>
        </w:tc>
        <w:tc>
          <w:tcPr>
            <w:tcW w:w="982" w:type="dxa"/>
          </w:tcPr>
          <w:p w14:paraId="0CE1B989" w14:textId="77777777"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8</w:t>
            </w:r>
          </w:p>
        </w:tc>
        <w:tc>
          <w:tcPr>
            <w:cnfStyle w:val="000010000000" w:firstRow="0" w:lastRow="0" w:firstColumn="0" w:lastColumn="0" w:oddVBand="1" w:evenVBand="0" w:oddHBand="0" w:evenHBand="0" w:firstRowFirstColumn="0" w:firstRowLastColumn="0" w:lastRowFirstColumn="0" w:lastRowLastColumn="0"/>
            <w:tcW w:w="2357" w:type="dxa"/>
          </w:tcPr>
          <w:p w14:paraId="4A976F0C" w14:textId="77777777" w:rsidR="00637D37" w:rsidRPr="00C84853" w:rsidRDefault="00C87FE2">
            <w:pPr>
              <w:pStyle w:val="Heading4"/>
              <w:outlineLvl w:val="3"/>
            </w:pPr>
            <w:r w:rsidRPr="00C84853">
              <w:t>School</w:t>
            </w:r>
          </w:p>
        </w:tc>
        <w:tc>
          <w:tcPr>
            <w:tcW w:w="4165" w:type="dxa"/>
          </w:tcPr>
          <w:p w14:paraId="2E8BF4A1" w14:textId="77777777"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School of Visual Culture</w:t>
            </w:r>
          </w:p>
        </w:tc>
      </w:tr>
      <w:tr w:rsidR="00637D37" w:rsidRPr="00C84853" w14:paraId="398504CE"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5DFBA196" w14:textId="77777777" w:rsidR="00637D37" w:rsidRPr="00C84853" w:rsidRDefault="00C87FE2">
            <w:pPr>
              <w:pStyle w:val="Heading4"/>
              <w:outlineLvl w:val="3"/>
            </w:pPr>
            <w:r w:rsidRPr="00C84853">
              <w:t>Stage</w:t>
            </w:r>
          </w:p>
        </w:tc>
        <w:tc>
          <w:tcPr>
            <w:tcW w:w="982" w:type="dxa"/>
          </w:tcPr>
          <w:p w14:paraId="1972D53B" w14:textId="77777777"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3</w:t>
            </w:r>
          </w:p>
        </w:tc>
        <w:tc>
          <w:tcPr>
            <w:cnfStyle w:val="000010000000" w:firstRow="0" w:lastRow="0" w:firstColumn="0" w:lastColumn="0" w:oddVBand="1" w:evenVBand="0" w:oddHBand="0" w:evenHBand="0" w:firstRowFirstColumn="0" w:firstRowLastColumn="0" w:lastRowFirstColumn="0" w:lastRowLastColumn="0"/>
            <w:tcW w:w="2357" w:type="dxa"/>
          </w:tcPr>
          <w:p w14:paraId="656AF4D3" w14:textId="77777777" w:rsidR="00637D37" w:rsidRPr="00C84853" w:rsidRDefault="00C87FE2">
            <w:pPr>
              <w:pStyle w:val="Heading4"/>
              <w:outlineLvl w:val="3"/>
            </w:pPr>
            <w:r w:rsidRPr="00C84853">
              <w:t>Module Co-ordinator</w:t>
            </w:r>
          </w:p>
        </w:tc>
        <w:tc>
          <w:tcPr>
            <w:tcW w:w="4165" w:type="dxa"/>
          </w:tcPr>
          <w:p w14:paraId="533F2BED" w14:textId="235D51BB" w:rsidR="00637D37" w:rsidRPr="00C84853" w:rsidRDefault="00C43404">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Dr </w:t>
            </w:r>
            <w:r w:rsidR="00C87FE2" w:rsidRPr="00C84853">
              <w:rPr>
                <w:rFonts w:cs="Calibri"/>
                <w:color w:val="000000"/>
                <w:szCs w:val="22"/>
              </w:rPr>
              <w:t>Emma Mahony</w:t>
            </w:r>
          </w:p>
        </w:tc>
      </w:tr>
      <w:tr w:rsidR="00637D37" w:rsidRPr="00C84853" w14:paraId="544BD05E"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3F162748" w14:textId="77777777" w:rsidR="00637D37" w:rsidRPr="00C84853" w:rsidRDefault="00C87FE2">
            <w:pPr>
              <w:pStyle w:val="Heading4"/>
              <w:outlineLvl w:val="3"/>
            </w:pPr>
            <w:r w:rsidRPr="00C84853">
              <w:t>Trimester</w:t>
            </w:r>
          </w:p>
        </w:tc>
        <w:tc>
          <w:tcPr>
            <w:tcW w:w="982" w:type="dxa"/>
          </w:tcPr>
          <w:p w14:paraId="4FEDC3D5" w14:textId="77777777"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szCs w:val="22"/>
              </w:rPr>
              <w:t>2</w:t>
            </w:r>
          </w:p>
        </w:tc>
        <w:tc>
          <w:tcPr>
            <w:cnfStyle w:val="000010000000" w:firstRow="0" w:lastRow="0" w:firstColumn="0" w:lastColumn="0" w:oddVBand="1" w:evenVBand="0" w:oddHBand="0" w:evenHBand="0" w:firstRowFirstColumn="0" w:firstRowLastColumn="0" w:lastRowFirstColumn="0" w:lastRowLastColumn="0"/>
            <w:tcW w:w="2357" w:type="dxa"/>
          </w:tcPr>
          <w:p w14:paraId="6F7E9193" w14:textId="77777777" w:rsidR="00637D37" w:rsidRPr="00C84853" w:rsidRDefault="00C87FE2">
            <w:pPr>
              <w:pStyle w:val="Heading4"/>
              <w:outlineLvl w:val="3"/>
            </w:pPr>
            <w:r w:rsidRPr="00C84853">
              <w:t>Module Team</w:t>
            </w:r>
          </w:p>
        </w:tc>
        <w:tc>
          <w:tcPr>
            <w:tcW w:w="4165" w:type="dxa"/>
          </w:tcPr>
          <w:p w14:paraId="65A3B461" w14:textId="1E05D758" w:rsidR="00637D37" w:rsidRPr="00C84853" w:rsidRDefault="00C43404">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Dr </w:t>
            </w:r>
            <w:r w:rsidR="00C87FE2" w:rsidRPr="00C84853">
              <w:rPr>
                <w:rFonts w:cs="Calibri"/>
                <w:color w:val="000000"/>
                <w:szCs w:val="22"/>
              </w:rPr>
              <w:t>Emma Mahony</w:t>
            </w:r>
          </w:p>
        </w:tc>
      </w:tr>
      <w:tr w:rsidR="00637D37" w:rsidRPr="00C84853" w14:paraId="4DA29835"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7B858BE6" w14:textId="77777777" w:rsidR="00637D37" w:rsidRPr="00C84853" w:rsidRDefault="00C87FE2">
            <w:pPr>
              <w:pStyle w:val="Heading4"/>
              <w:outlineLvl w:val="3"/>
            </w:pPr>
            <w:r w:rsidRPr="00C84853">
              <w:t>Contact</w:t>
            </w:r>
          </w:p>
        </w:tc>
        <w:tc>
          <w:tcPr>
            <w:tcW w:w="7504" w:type="dxa"/>
            <w:gridSpan w:val="3"/>
          </w:tcPr>
          <w:p w14:paraId="4D54EA05" w14:textId="77777777" w:rsidR="00637D37" w:rsidRPr="00C84853" w:rsidRDefault="00C87FE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Neasa Travers, Secretary School of Visual Culture: visualculture@staff.ncad.ie</w:t>
            </w:r>
          </w:p>
        </w:tc>
      </w:tr>
      <w:tr w:rsidR="00637D37" w:rsidRPr="00C84853" w14:paraId="77B71CA0" w14:textId="77777777" w:rsidTr="00C84853">
        <w:trPr>
          <w:trHeight w:val="340"/>
        </w:trPr>
        <w:tc>
          <w:tcPr>
            <w:cnfStyle w:val="000010000000" w:firstRow="0" w:lastRow="0" w:firstColumn="0" w:lastColumn="0" w:oddVBand="1" w:evenVBand="0" w:oddHBand="0" w:evenHBand="0" w:firstRowFirstColumn="0" w:firstRowLastColumn="0" w:lastRowFirstColumn="0" w:lastRowLastColumn="0"/>
            <w:tcW w:w="1522" w:type="dxa"/>
          </w:tcPr>
          <w:p w14:paraId="71B613A6" w14:textId="77777777" w:rsidR="00637D37" w:rsidRPr="00C84853" w:rsidRDefault="00C87FE2">
            <w:pPr>
              <w:pStyle w:val="Heading4"/>
              <w:outlineLvl w:val="3"/>
            </w:pPr>
            <w:r w:rsidRPr="00C84853">
              <w:t>Responsibility</w:t>
            </w:r>
          </w:p>
        </w:tc>
        <w:tc>
          <w:tcPr>
            <w:tcW w:w="7504" w:type="dxa"/>
            <w:gridSpan w:val="3"/>
          </w:tcPr>
          <w:p w14:paraId="711CC4CF" w14:textId="77777777" w:rsidR="00637D37" w:rsidRPr="00C84853" w:rsidRDefault="00C87FE2">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84853">
              <w:rPr>
                <w:rFonts w:cs="Calibri"/>
                <w:color w:val="000000"/>
                <w:szCs w:val="22"/>
              </w:rPr>
              <w:t>NCAD Academic Council / School of Visual Culture</w:t>
            </w:r>
          </w:p>
        </w:tc>
      </w:tr>
    </w:tbl>
    <w:p w14:paraId="1EE71D63" w14:textId="77777777" w:rsidR="00C84853" w:rsidRPr="008731F4" w:rsidRDefault="00C84853" w:rsidP="008731F4">
      <w:pPr>
        <w:pStyle w:val="Heading2"/>
      </w:pPr>
      <w:r w:rsidRPr="008731F4">
        <w:t>Introduction</w:t>
      </w:r>
    </w:p>
    <w:p w14:paraId="235F0EFF" w14:textId="77777777" w:rsidR="00C84853" w:rsidRPr="00C43404" w:rsidRDefault="00C84853" w:rsidP="00473810">
      <w:pPr>
        <w:pStyle w:val="ListParagraph"/>
        <w:rPr>
          <w:rFonts w:cs="Calibri"/>
          <w:sz w:val="20"/>
          <w:szCs w:val="20"/>
        </w:rPr>
      </w:pPr>
      <w:r w:rsidRPr="00C43404">
        <w:rPr>
          <w:rFonts w:cs="Calibri"/>
          <w:sz w:val="20"/>
          <w:szCs w:val="20"/>
        </w:rPr>
        <w:t>The purpose of the Placement module is to provide students with real world experience prior to completing their BA studies.</w:t>
      </w:r>
    </w:p>
    <w:p w14:paraId="72BF6DA0" w14:textId="204BC3F2" w:rsidR="00C84853" w:rsidRPr="00C43404" w:rsidRDefault="00C84853" w:rsidP="00473810">
      <w:pPr>
        <w:pStyle w:val="ListParagraph"/>
        <w:rPr>
          <w:rFonts w:cs="Calibri"/>
          <w:sz w:val="20"/>
          <w:szCs w:val="20"/>
        </w:rPr>
      </w:pPr>
      <w:r w:rsidRPr="00C43404">
        <w:rPr>
          <w:rFonts w:cs="Calibri"/>
          <w:sz w:val="20"/>
          <w:szCs w:val="20"/>
        </w:rPr>
        <w:t xml:space="preserve">Placements with selected partners in the public and private </w:t>
      </w:r>
      <w:r w:rsidR="005C0101" w:rsidRPr="00C43404">
        <w:rPr>
          <w:rFonts w:cs="Calibri"/>
          <w:sz w:val="20"/>
          <w:szCs w:val="20"/>
        </w:rPr>
        <w:t xml:space="preserve">cultural </w:t>
      </w:r>
      <w:r w:rsidRPr="00C43404">
        <w:rPr>
          <w:rFonts w:cs="Calibri"/>
          <w:sz w:val="20"/>
          <w:szCs w:val="20"/>
        </w:rPr>
        <w:t xml:space="preserve">sector relate to the Visual Culture curriculum and provide students with the opportunity to explore one of the numerous professional sectors which reside around the </w:t>
      </w:r>
      <w:r w:rsidR="005C0101" w:rsidRPr="00C43404">
        <w:rPr>
          <w:rFonts w:cs="Calibri"/>
          <w:color w:val="000000"/>
          <w:sz w:val="20"/>
          <w:szCs w:val="20"/>
          <w:lang w:val="en-US"/>
        </w:rPr>
        <w:t>the fields of the arts, design, heritage and film</w:t>
      </w:r>
      <w:r w:rsidRPr="00C43404">
        <w:rPr>
          <w:rFonts w:cs="Calibri"/>
          <w:sz w:val="20"/>
          <w:szCs w:val="20"/>
        </w:rPr>
        <w:t xml:space="preserve">, including </w:t>
      </w:r>
      <w:r w:rsidR="005C0101" w:rsidRPr="00C43404">
        <w:rPr>
          <w:rFonts w:cs="Calibri"/>
          <w:color w:val="000000"/>
          <w:sz w:val="20"/>
          <w:szCs w:val="20"/>
          <w:lang w:val="en-US"/>
        </w:rPr>
        <w:t>arts administration, project management, curation, arts education, critical and popular writing, archiving, marketing and advertising</w:t>
      </w:r>
      <w:r w:rsidRPr="00C43404">
        <w:rPr>
          <w:rFonts w:cs="Calibri"/>
          <w:sz w:val="20"/>
          <w:szCs w:val="20"/>
        </w:rPr>
        <w:t>.  Assessment of this module is based on the student’s presentation and submission of annotated presentation slides, which critically reflects on the experience of the placement and is assessed by the placement supervisor.</w:t>
      </w:r>
      <w:r w:rsidR="00473810" w:rsidRPr="00C43404">
        <w:rPr>
          <w:rFonts w:cs="Calibri"/>
          <w:sz w:val="20"/>
          <w:szCs w:val="20"/>
        </w:rPr>
        <w:t xml:space="preserve"> </w:t>
      </w:r>
      <w:r w:rsidRPr="00C43404">
        <w:rPr>
          <w:rFonts w:cs="Calibri"/>
          <w:sz w:val="20"/>
          <w:szCs w:val="20"/>
        </w:rPr>
        <w:t xml:space="preserve"> This will be an academic member of the School of Visual Culture.  </w:t>
      </w:r>
    </w:p>
    <w:p w14:paraId="2F172121" w14:textId="31D462CC" w:rsidR="00C84853" w:rsidRPr="00C43404" w:rsidRDefault="00C84853" w:rsidP="00473810">
      <w:pPr>
        <w:pStyle w:val="ListParagraph"/>
        <w:rPr>
          <w:rFonts w:cs="Calibri"/>
          <w:sz w:val="20"/>
          <w:szCs w:val="20"/>
        </w:rPr>
      </w:pPr>
      <w:r w:rsidRPr="00C43404">
        <w:rPr>
          <w:rFonts w:cs="Calibri"/>
          <w:sz w:val="20"/>
          <w:szCs w:val="20"/>
        </w:rPr>
        <w:t xml:space="preserve">Work placement agreements are put in place between NCAD and each placement host and between NCAD and the student and should be agreed prior to the start of the placement.  The work placement agreement between NCAD and the student includes a learning contract that establishes broad learning objectives while on placement.  The length of the placement may vary within weeks 1-12 of trimester </w:t>
      </w:r>
      <w:r w:rsidR="005C0101" w:rsidRPr="00C43404">
        <w:rPr>
          <w:rFonts w:cs="Calibri"/>
          <w:sz w:val="20"/>
          <w:szCs w:val="20"/>
        </w:rPr>
        <w:t>2</w:t>
      </w:r>
      <w:r w:rsidRPr="00C43404">
        <w:rPr>
          <w:rFonts w:cs="Calibri"/>
          <w:sz w:val="20"/>
          <w:szCs w:val="20"/>
        </w:rPr>
        <w:t xml:space="preserve"> and may comprise </w:t>
      </w:r>
      <w:r w:rsidR="005C0101" w:rsidRPr="00C43404">
        <w:rPr>
          <w:rFonts w:cs="Calibri"/>
          <w:color w:val="000000"/>
          <w:sz w:val="20"/>
          <w:szCs w:val="20"/>
          <w:lang w:val="en-US"/>
        </w:rPr>
        <w:t>1-day a week for 12 weeks or 2-days a week for 6 weeks</w:t>
      </w:r>
      <w:r w:rsidRPr="00C43404">
        <w:rPr>
          <w:rFonts w:cs="Calibri"/>
          <w:sz w:val="20"/>
          <w:szCs w:val="20"/>
        </w:rPr>
        <w:t>.  Provision for an alternative placement opportunity within NCAD (with an organisation such as NIVAL</w:t>
      </w:r>
      <w:r w:rsidR="005C0101" w:rsidRPr="00C43404">
        <w:rPr>
          <w:rFonts w:cs="Calibri"/>
          <w:color w:val="000000"/>
          <w:sz w:val="20"/>
          <w:szCs w:val="20"/>
          <w:lang w:val="en-US"/>
        </w:rPr>
        <w:t xml:space="preserve"> EML or NCAD Gallery</w:t>
      </w:r>
      <w:r w:rsidRPr="00C43404">
        <w:rPr>
          <w:rFonts w:cs="Calibri"/>
          <w:sz w:val="20"/>
          <w:szCs w:val="20"/>
        </w:rPr>
        <w:t xml:space="preserve">) will be established in the event that a student is unable to secure an external placement. </w:t>
      </w:r>
    </w:p>
    <w:p w14:paraId="3E9EF1F5" w14:textId="4111848B" w:rsidR="00C84853" w:rsidRPr="00C43404" w:rsidRDefault="00C84853" w:rsidP="00473810">
      <w:pPr>
        <w:pStyle w:val="ListParagraph"/>
        <w:rPr>
          <w:rFonts w:cs="Calibri"/>
          <w:sz w:val="20"/>
          <w:szCs w:val="20"/>
        </w:rPr>
      </w:pPr>
      <w:r w:rsidRPr="00C43404">
        <w:rPr>
          <w:rFonts w:cs="Calibri"/>
          <w:sz w:val="20"/>
          <w:szCs w:val="20"/>
        </w:rPr>
        <w:t xml:space="preserve">Should it prove impossible to undertake a placement in </w:t>
      </w:r>
      <w:r w:rsidR="005C0101" w:rsidRPr="00C43404">
        <w:rPr>
          <w:rFonts w:cs="Calibri"/>
          <w:sz w:val="20"/>
          <w:szCs w:val="20"/>
        </w:rPr>
        <w:t>any given year</w:t>
      </w:r>
      <w:r w:rsidRPr="00C43404">
        <w:rPr>
          <w:rFonts w:cs="Calibri"/>
          <w:sz w:val="20"/>
          <w:szCs w:val="20"/>
        </w:rPr>
        <w:t>, students will have an opportunity to undertake an equivalent module with comparable learning outcomes.</w:t>
      </w:r>
    </w:p>
    <w:p w14:paraId="293E1988" w14:textId="62413998" w:rsidR="00C84853" w:rsidRPr="00C43404" w:rsidRDefault="00C84853" w:rsidP="00473810">
      <w:pPr>
        <w:pStyle w:val="ListParagraph"/>
        <w:rPr>
          <w:rFonts w:cs="Calibri"/>
          <w:sz w:val="20"/>
          <w:szCs w:val="20"/>
        </w:rPr>
      </w:pPr>
      <w:r w:rsidRPr="00C43404">
        <w:rPr>
          <w:rFonts w:cs="Calibri"/>
          <w:sz w:val="20"/>
          <w:szCs w:val="20"/>
        </w:rPr>
        <w:t>The aims of this module are</w:t>
      </w:r>
      <w:r w:rsidR="00473810" w:rsidRPr="00C43404">
        <w:rPr>
          <w:rFonts w:cs="Calibri"/>
          <w:sz w:val="20"/>
          <w:szCs w:val="20"/>
        </w:rPr>
        <w:t xml:space="preserve"> to</w:t>
      </w:r>
      <w:r w:rsidRPr="00C43404">
        <w:rPr>
          <w:rFonts w:cs="Calibri"/>
          <w:sz w:val="20"/>
          <w:szCs w:val="20"/>
        </w:rPr>
        <w:t>:</w:t>
      </w:r>
    </w:p>
    <w:p w14:paraId="4E6635DF" w14:textId="47DE821D" w:rsidR="00C84853" w:rsidRPr="00C43404" w:rsidRDefault="00473810" w:rsidP="00473810">
      <w:pPr>
        <w:pStyle w:val="Bullets"/>
        <w:numPr>
          <w:ilvl w:val="0"/>
          <w:numId w:val="2"/>
        </w:numPr>
        <w:rPr>
          <w:rFonts w:cs="Calibri"/>
          <w:sz w:val="20"/>
          <w:szCs w:val="20"/>
        </w:rPr>
      </w:pPr>
      <w:r w:rsidRPr="00C43404">
        <w:rPr>
          <w:rFonts w:cs="Calibri"/>
          <w:sz w:val="20"/>
          <w:szCs w:val="20"/>
        </w:rPr>
        <w:t>P</w:t>
      </w:r>
      <w:r w:rsidR="00C84853" w:rsidRPr="00C43404">
        <w:rPr>
          <w:rFonts w:cs="Calibri"/>
          <w:sz w:val="20"/>
          <w:szCs w:val="20"/>
        </w:rPr>
        <w:t>rovide an opportunities for students on the programme to understand and contribute the operations of an organisation related to Visual Culture</w:t>
      </w:r>
    </w:p>
    <w:p w14:paraId="422D8015" w14:textId="4BF5344D" w:rsidR="00C84853" w:rsidRPr="00473810" w:rsidRDefault="00473810" w:rsidP="00473810">
      <w:pPr>
        <w:pStyle w:val="Bullets"/>
        <w:numPr>
          <w:ilvl w:val="0"/>
          <w:numId w:val="2"/>
        </w:numPr>
      </w:pPr>
      <w:r>
        <w:t>P</w:t>
      </w:r>
      <w:r w:rsidR="00C84853" w:rsidRPr="00666094">
        <w:t>rovide an opportunity for critical reflection on the broader philosophical and intellectual claims of Visual Culture scholarship from the vantage point of professional experience.</w:t>
      </w:r>
    </w:p>
    <w:p w14:paraId="7359A9E9" w14:textId="77777777" w:rsidR="00C84853" w:rsidRPr="00666094" w:rsidRDefault="00C84853" w:rsidP="008731F4">
      <w:pPr>
        <w:pStyle w:val="Heading2"/>
      </w:pPr>
      <w:r w:rsidRPr="00666094">
        <w:lastRenderedPageBreak/>
        <w:t>What will I learn?</w:t>
      </w:r>
    </w:p>
    <w:p w14:paraId="51D83732" w14:textId="77777777" w:rsidR="00C84853" w:rsidRPr="00666094" w:rsidRDefault="00C84853" w:rsidP="00473810">
      <w:pPr>
        <w:pStyle w:val="ListParagraph"/>
      </w:pPr>
      <w:r w:rsidRPr="00666094">
        <w:t>On successful completion of this module students will be able to:</w:t>
      </w:r>
    </w:p>
    <w:p w14:paraId="6ECA5433" w14:textId="77777777" w:rsidR="00C84853" w:rsidRPr="00473810" w:rsidRDefault="00C84853" w:rsidP="00473810">
      <w:pPr>
        <w:pStyle w:val="Bullets"/>
        <w:numPr>
          <w:ilvl w:val="0"/>
          <w:numId w:val="4"/>
        </w:numPr>
      </w:pPr>
      <w:r w:rsidRPr="00473810">
        <w:t>RESEARCH: Exercise initiative and personal responsibility towards the placement experience showing academic and professional purpose and the assimilation and application of pertinent knowledge.</w:t>
      </w:r>
    </w:p>
    <w:p w14:paraId="630D1CF7" w14:textId="77777777" w:rsidR="00C84853" w:rsidRPr="00473810" w:rsidRDefault="00C84853" w:rsidP="00473810">
      <w:pPr>
        <w:pStyle w:val="Bullets"/>
        <w:numPr>
          <w:ilvl w:val="0"/>
          <w:numId w:val="4"/>
        </w:numPr>
      </w:pPr>
      <w:r w:rsidRPr="00473810">
        <w:t>APPLY: Demonstrate capacity for critical reflection that relates to short and long term professional objectives and development.</w:t>
      </w:r>
    </w:p>
    <w:p w14:paraId="091D1410" w14:textId="77777777" w:rsidR="00C84853" w:rsidRPr="00473810" w:rsidRDefault="00C84853" w:rsidP="00473810">
      <w:pPr>
        <w:pStyle w:val="Bullets"/>
        <w:numPr>
          <w:ilvl w:val="0"/>
          <w:numId w:val="4"/>
        </w:numPr>
      </w:pPr>
      <w:r w:rsidRPr="00473810">
        <w:t>COMMUNICATE: Develop effective spoken, written and visual communication appropriate to specialist and non-specialist audiences showing an awareness of context and ability to adapt communication strategies to suit circumstances.</w:t>
      </w:r>
    </w:p>
    <w:p w14:paraId="447F239C" w14:textId="77777777" w:rsidR="00C84853" w:rsidRPr="00666094" w:rsidRDefault="00C84853" w:rsidP="008731F4">
      <w:pPr>
        <w:pStyle w:val="Heading2"/>
        <w:rPr>
          <w:u w:val="single"/>
        </w:rPr>
      </w:pPr>
      <w:r w:rsidRPr="00666094">
        <w:t>How will I learn?</w:t>
      </w:r>
    </w:p>
    <w:tbl>
      <w:tblPr>
        <w:tblStyle w:val="GridTable2-Accent1"/>
        <w:tblW w:w="4815" w:type="dxa"/>
        <w:tblLayout w:type="fixed"/>
        <w:tblLook w:val="0660" w:firstRow="1" w:lastRow="1" w:firstColumn="0" w:lastColumn="0" w:noHBand="1" w:noVBand="1"/>
      </w:tblPr>
      <w:tblGrid>
        <w:gridCol w:w="3681"/>
        <w:gridCol w:w="1134"/>
      </w:tblGrid>
      <w:tr w:rsidR="00637D37" w:rsidRPr="008731F4" w14:paraId="2E0A56BE" w14:textId="77777777" w:rsidTr="008731F4">
        <w:trPr>
          <w:cnfStyle w:val="100000000000" w:firstRow="1" w:lastRow="0" w:firstColumn="0" w:lastColumn="0" w:oddVBand="0" w:evenVBand="0" w:oddHBand="0" w:evenHBand="0" w:firstRowFirstColumn="0" w:firstRowLastColumn="0" w:lastRowFirstColumn="0" w:lastRowLastColumn="0"/>
          <w:trHeight w:val="340"/>
        </w:trPr>
        <w:tc>
          <w:tcPr>
            <w:tcW w:w="3681" w:type="dxa"/>
          </w:tcPr>
          <w:p w14:paraId="0958BC91" w14:textId="6A66AE24" w:rsidR="00637D37" w:rsidRPr="008731F4" w:rsidRDefault="00C84853" w:rsidP="00473810">
            <w:pPr>
              <w:rPr>
                <w:b w:val="0"/>
              </w:rPr>
            </w:pPr>
            <w:r w:rsidRPr="008731F4">
              <w:rPr>
                <w:b w:val="0"/>
              </w:rPr>
              <w:t>Learning tools</w:t>
            </w:r>
          </w:p>
        </w:tc>
        <w:tc>
          <w:tcPr>
            <w:tcW w:w="1134" w:type="dxa"/>
          </w:tcPr>
          <w:p w14:paraId="2C46AA91" w14:textId="77777777" w:rsidR="00637D37" w:rsidRPr="008731F4" w:rsidRDefault="00C87FE2" w:rsidP="00473810">
            <w:pPr>
              <w:rPr>
                <w:b w:val="0"/>
              </w:rPr>
            </w:pPr>
            <w:r w:rsidRPr="008731F4">
              <w:rPr>
                <w:b w:val="0"/>
              </w:rPr>
              <w:t>Hours</w:t>
            </w:r>
          </w:p>
        </w:tc>
      </w:tr>
      <w:tr w:rsidR="00637D37" w:rsidRPr="008731F4" w14:paraId="58A8FCC9" w14:textId="77777777" w:rsidTr="008731F4">
        <w:trPr>
          <w:trHeight w:val="340"/>
        </w:trPr>
        <w:tc>
          <w:tcPr>
            <w:tcW w:w="3681" w:type="dxa"/>
          </w:tcPr>
          <w:p w14:paraId="5DAE773C" w14:textId="77777777" w:rsidR="00637D37" w:rsidRPr="008731F4" w:rsidRDefault="00C87FE2" w:rsidP="00473810">
            <w:r w:rsidRPr="008731F4">
              <w:t>Lectures / lectures</w:t>
            </w:r>
          </w:p>
        </w:tc>
        <w:tc>
          <w:tcPr>
            <w:tcW w:w="1134" w:type="dxa"/>
          </w:tcPr>
          <w:p w14:paraId="09212C31" w14:textId="340A1B1A" w:rsidR="00637D37" w:rsidRPr="008731F4" w:rsidRDefault="005C0101" w:rsidP="00473810">
            <w:r>
              <w:t>12</w:t>
            </w:r>
          </w:p>
        </w:tc>
      </w:tr>
      <w:tr w:rsidR="00637D37" w:rsidRPr="008731F4" w14:paraId="24F2FB9A" w14:textId="77777777" w:rsidTr="008731F4">
        <w:trPr>
          <w:trHeight w:val="340"/>
        </w:trPr>
        <w:tc>
          <w:tcPr>
            <w:tcW w:w="3681" w:type="dxa"/>
          </w:tcPr>
          <w:p w14:paraId="65F69292" w14:textId="77777777" w:rsidR="00637D37" w:rsidRPr="008731F4" w:rsidRDefault="00C87FE2" w:rsidP="00473810">
            <w:r w:rsidRPr="008731F4">
              <w:t>Specified Learning Activities</w:t>
            </w:r>
          </w:p>
        </w:tc>
        <w:tc>
          <w:tcPr>
            <w:tcW w:w="1134" w:type="dxa"/>
          </w:tcPr>
          <w:p w14:paraId="3F61C5ED" w14:textId="63FAD177" w:rsidR="00637D37" w:rsidRPr="008731F4" w:rsidRDefault="005C0101" w:rsidP="00473810">
            <w:r>
              <w:t>88</w:t>
            </w:r>
          </w:p>
        </w:tc>
      </w:tr>
      <w:tr w:rsidR="00637D37" w:rsidRPr="008731F4" w14:paraId="36C8588E" w14:textId="77777777" w:rsidTr="008731F4">
        <w:trPr>
          <w:trHeight w:val="340"/>
        </w:trPr>
        <w:tc>
          <w:tcPr>
            <w:tcW w:w="3681" w:type="dxa"/>
          </w:tcPr>
          <w:p w14:paraId="18AB0902" w14:textId="77777777" w:rsidR="00637D37" w:rsidRPr="008731F4" w:rsidRDefault="00C87FE2" w:rsidP="00473810">
            <w:r w:rsidRPr="008731F4">
              <w:t xml:space="preserve">Autonomous Student Learning </w:t>
            </w:r>
          </w:p>
        </w:tc>
        <w:tc>
          <w:tcPr>
            <w:tcW w:w="1134" w:type="dxa"/>
          </w:tcPr>
          <w:p w14:paraId="74853ED5" w14:textId="7E7A9429" w:rsidR="00637D37" w:rsidRPr="008731F4" w:rsidRDefault="00C87FE2" w:rsidP="00473810">
            <w:r w:rsidRPr="008731F4">
              <w:t>1</w:t>
            </w:r>
            <w:r w:rsidR="00A63393" w:rsidRPr="008731F4">
              <w:t>1</w:t>
            </w:r>
            <w:r w:rsidRPr="008731F4">
              <w:t>0</w:t>
            </w:r>
          </w:p>
        </w:tc>
      </w:tr>
      <w:tr w:rsidR="00637D37" w:rsidRPr="008731F4" w14:paraId="3B58A1AD" w14:textId="77777777" w:rsidTr="008731F4">
        <w:trPr>
          <w:cnfStyle w:val="010000000000" w:firstRow="0" w:lastRow="1" w:firstColumn="0" w:lastColumn="0" w:oddVBand="0" w:evenVBand="0" w:oddHBand="0" w:evenHBand="0" w:firstRowFirstColumn="0" w:firstRowLastColumn="0" w:lastRowFirstColumn="0" w:lastRowLastColumn="0"/>
          <w:trHeight w:val="340"/>
        </w:trPr>
        <w:tc>
          <w:tcPr>
            <w:tcW w:w="3681" w:type="dxa"/>
          </w:tcPr>
          <w:p w14:paraId="3EFA1E12" w14:textId="77777777" w:rsidR="00637D37" w:rsidRPr="008731F4" w:rsidRDefault="00C87FE2" w:rsidP="00473810">
            <w:pPr>
              <w:rPr>
                <w:b w:val="0"/>
              </w:rPr>
            </w:pPr>
            <w:r w:rsidRPr="008731F4">
              <w:rPr>
                <w:b w:val="0"/>
              </w:rPr>
              <w:t>Total Workload</w:t>
            </w:r>
          </w:p>
        </w:tc>
        <w:tc>
          <w:tcPr>
            <w:tcW w:w="1134" w:type="dxa"/>
          </w:tcPr>
          <w:p w14:paraId="1C607441" w14:textId="77777777" w:rsidR="00637D37" w:rsidRPr="008731F4" w:rsidRDefault="00C87FE2" w:rsidP="00473810">
            <w:pPr>
              <w:rPr>
                <w:b w:val="0"/>
              </w:rPr>
            </w:pPr>
            <w:r w:rsidRPr="008731F4">
              <w:rPr>
                <w:b w:val="0"/>
              </w:rPr>
              <w:t>200</w:t>
            </w:r>
          </w:p>
        </w:tc>
      </w:tr>
    </w:tbl>
    <w:p w14:paraId="4C175EF7" w14:textId="77777777" w:rsidR="00473810" w:rsidRDefault="00473810" w:rsidP="00473810"/>
    <w:p w14:paraId="523F4F4D" w14:textId="77777777" w:rsidR="00637D37" w:rsidRPr="00666094" w:rsidRDefault="00C87FE2" w:rsidP="00473810">
      <w:pPr>
        <w:pStyle w:val="ListParagraph"/>
      </w:pPr>
      <w:r w:rsidRPr="00666094">
        <w:t>Students learn through the tasks set and information provided by the host institution. Students will be required to engage in critical reflection of this experience in the form of a presentation to their peers and to a member of Visual Culture staff team.</w:t>
      </w:r>
    </w:p>
    <w:p w14:paraId="2F94320F" w14:textId="77777777" w:rsidR="00C84853" w:rsidRPr="00666094" w:rsidRDefault="00C84853" w:rsidP="008731F4">
      <w:pPr>
        <w:pStyle w:val="Heading2"/>
      </w:pPr>
      <w:r w:rsidRPr="00666094">
        <w:t>What learning supports are provided?</w:t>
      </w:r>
    </w:p>
    <w:p w14:paraId="284AD619" w14:textId="77777777" w:rsidR="00C84853" w:rsidRPr="00666094" w:rsidRDefault="00C84853" w:rsidP="00473810">
      <w:pPr>
        <w:pStyle w:val="ListParagraph"/>
      </w:pPr>
      <w:r w:rsidRPr="00666094">
        <w:t>Bibliographies, recommended readings for discussion in class, and online moving image and audio resources.</w:t>
      </w:r>
    </w:p>
    <w:p w14:paraId="3A16D33A" w14:textId="77777777" w:rsidR="00C84853" w:rsidRPr="00666094" w:rsidRDefault="00C84853" w:rsidP="008731F4">
      <w:pPr>
        <w:pStyle w:val="Heading2"/>
        <w:rPr>
          <w:rFonts w:eastAsia="Calibri"/>
        </w:rPr>
      </w:pPr>
      <w:r w:rsidRPr="00666094">
        <w:rPr>
          <w:rFonts w:eastAsia="Calibri"/>
        </w:rPr>
        <w:t>Am I eligible to take this module?</w:t>
      </w:r>
    </w:p>
    <w:p w14:paraId="0B876CEF" w14:textId="77777777" w:rsidR="008731F4" w:rsidRPr="008731F4" w:rsidRDefault="008731F4" w:rsidP="008731F4">
      <w:pPr>
        <w:pStyle w:val="Heading3"/>
      </w:pPr>
      <w:r w:rsidRPr="008731F4">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C84853" w:rsidRPr="008731F4" w14:paraId="43047C27" w14:textId="77777777" w:rsidTr="008731F4">
        <w:tc>
          <w:tcPr>
            <w:cnfStyle w:val="001000000000" w:firstRow="0" w:lastRow="0" w:firstColumn="1" w:lastColumn="0" w:oddVBand="0" w:evenVBand="0" w:oddHBand="0" w:evenHBand="0" w:firstRowFirstColumn="0" w:firstRowLastColumn="0" w:lastRowFirstColumn="0" w:lastRowLastColumn="0"/>
            <w:tcW w:w="1721" w:type="dxa"/>
          </w:tcPr>
          <w:p w14:paraId="4AF35CA8" w14:textId="77777777" w:rsidR="00C84853" w:rsidRPr="008731F4" w:rsidRDefault="00C84853" w:rsidP="00473810">
            <w:pPr>
              <w:rPr>
                <w:b w:val="0"/>
              </w:rPr>
            </w:pPr>
            <w:r w:rsidRPr="008731F4">
              <w:rPr>
                <w:b w:val="0"/>
              </w:rPr>
              <w:t>Pre-requisites</w:t>
            </w:r>
          </w:p>
        </w:tc>
        <w:tc>
          <w:tcPr>
            <w:tcW w:w="7295" w:type="dxa"/>
          </w:tcPr>
          <w:p w14:paraId="7536666E" w14:textId="77777777" w:rsidR="00C84853" w:rsidRPr="008731F4" w:rsidRDefault="00C84853" w:rsidP="00473810">
            <w:pPr>
              <w:cnfStyle w:val="000000000000" w:firstRow="0" w:lastRow="0" w:firstColumn="0" w:lastColumn="0" w:oddVBand="0" w:evenVBand="0" w:oddHBand="0" w:evenHBand="0" w:firstRowFirstColumn="0" w:firstRowLastColumn="0" w:lastRowFirstColumn="0" w:lastRowLastColumn="0"/>
            </w:pPr>
            <w:r w:rsidRPr="008731F4">
              <w:t>None</w:t>
            </w:r>
          </w:p>
        </w:tc>
      </w:tr>
      <w:tr w:rsidR="00C84853" w:rsidRPr="008731F4" w14:paraId="21142881" w14:textId="77777777" w:rsidTr="008731F4">
        <w:tc>
          <w:tcPr>
            <w:cnfStyle w:val="001000000000" w:firstRow="0" w:lastRow="0" w:firstColumn="1" w:lastColumn="0" w:oddVBand="0" w:evenVBand="0" w:oddHBand="0" w:evenHBand="0" w:firstRowFirstColumn="0" w:firstRowLastColumn="0" w:lastRowFirstColumn="0" w:lastRowLastColumn="0"/>
            <w:tcW w:w="1721" w:type="dxa"/>
          </w:tcPr>
          <w:p w14:paraId="1E1BB71E" w14:textId="77777777" w:rsidR="00C84853" w:rsidRPr="008731F4" w:rsidRDefault="00C84853" w:rsidP="00473810">
            <w:pPr>
              <w:rPr>
                <w:b w:val="0"/>
              </w:rPr>
            </w:pPr>
            <w:r w:rsidRPr="008731F4">
              <w:rPr>
                <w:b w:val="0"/>
              </w:rPr>
              <w:t>Co-requisites</w:t>
            </w:r>
          </w:p>
        </w:tc>
        <w:tc>
          <w:tcPr>
            <w:tcW w:w="7295" w:type="dxa"/>
          </w:tcPr>
          <w:p w14:paraId="284CB04C" w14:textId="77777777" w:rsidR="00C84853" w:rsidRPr="008731F4" w:rsidRDefault="00C84853" w:rsidP="00473810">
            <w:pPr>
              <w:cnfStyle w:val="000000000000" w:firstRow="0" w:lastRow="0" w:firstColumn="0" w:lastColumn="0" w:oddVBand="0" w:evenVBand="0" w:oddHBand="0" w:evenHBand="0" w:firstRowFirstColumn="0" w:firstRowLastColumn="0" w:lastRowFirstColumn="0" w:lastRowLastColumn="0"/>
            </w:pPr>
            <w:r w:rsidRPr="008731F4">
              <w:t>None</w:t>
            </w:r>
          </w:p>
        </w:tc>
      </w:tr>
      <w:tr w:rsidR="00C84853" w:rsidRPr="008731F4" w14:paraId="3F304977" w14:textId="77777777" w:rsidTr="008731F4">
        <w:tc>
          <w:tcPr>
            <w:cnfStyle w:val="001000000000" w:firstRow="0" w:lastRow="0" w:firstColumn="1" w:lastColumn="0" w:oddVBand="0" w:evenVBand="0" w:oddHBand="0" w:evenHBand="0" w:firstRowFirstColumn="0" w:firstRowLastColumn="0" w:lastRowFirstColumn="0" w:lastRowLastColumn="0"/>
            <w:tcW w:w="1721" w:type="dxa"/>
          </w:tcPr>
          <w:p w14:paraId="1D62AEFD" w14:textId="77777777" w:rsidR="00C84853" w:rsidRPr="008731F4" w:rsidRDefault="00C84853" w:rsidP="00473810">
            <w:pPr>
              <w:rPr>
                <w:b w:val="0"/>
              </w:rPr>
            </w:pPr>
            <w:r w:rsidRPr="008731F4">
              <w:rPr>
                <w:b w:val="0"/>
              </w:rPr>
              <w:t>Incompatibles</w:t>
            </w:r>
          </w:p>
        </w:tc>
        <w:tc>
          <w:tcPr>
            <w:tcW w:w="7295" w:type="dxa"/>
          </w:tcPr>
          <w:p w14:paraId="6DDFD661" w14:textId="77777777" w:rsidR="00C84853" w:rsidRPr="008731F4" w:rsidRDefault="00C84853" w:rsidP="00473810">
            <w:pPr>
              <w:cnfStyle w:val="000000000000" w:firstRow="0" w:lastRow="0" w:firstColumn="0" w:lastColumn="0" w:oddVBand="0" w:evenVBand="0" w:oddHBand="0" w:evenHBand="0" w:firstRowFirstColumn="0" w:firstRowLastColumn="0" w:lastRowFirstColumn="0" w:lastRowLastColumn="0"/>
            </w:pPr>
            <w:r w:rsidRPr="008731F4">
              <w:t>None</w:t>
            </w:r>
          </w:p>
        </w:tc>
      </w:tr>
      <w:tr w:rsidR="00C84853" w:rsidRPr="008731F4" w14:paraId="2DAB3211" w14:textId="77777777" w:rsidTr="008731F4">
        <w:tc>
          <w:tcPr>
            <w:cnfStyle w:val="001000000000" w:firstRow="0" w:lastRow="0" w:firstColumn="1" w:lastColumn="0" w:oddVBand="0" w:evenVBand="0" w:oddHBand="0" w:evenHBand="0" w:firstRowFirstColumn="0" w:firstRowLastColumn="0" w:lastRowFirstColumn="0" w:lastRowLastColumn="0"/>
            <w:tcW w:w="1721" w:type="dxa"/>
          </w:tcPr>
          <w:p w14:paraId="3A7F2862" w14:textId="77777777" w:rsidR="00C84853" w:rsidRPr="008731F4" w:rsidRDefault="00C84853" w:rsidP="00473810">
            <w:pPr>
              <w:rPr>
                <w:b w:val="0"/>
              </w:rPr>
            </w:pPr>
            <w:r w:rsidRPr="008731F4">
              <w:rPr>
                <w:b w:val="0"/>
              </w:rPr>
              <w:t>Prior learning</w:t>
            </w:r>
          </w:p>
        </w:tc>
        <w:tc>
          <w:tcPr>
            <w:tcW w:w="7295" w:type="dxa"/>
          </w:tcPr>
          <w:p w14:paraId="3B3CFC63" w14:textId="77777777" w:rsidR="00C84853" w:rsidRPr="008731F4" w:rsidRDefault="00C84853" w:rsidP="00473810">
            <w:pPr>
              <w:cnfStyle w:val="000000000000" w:firstRow="0" w:lastRow="0" w:firstColumn="0" w:lastColumn="0" w:oddVBand="0" w:evenVBand="0" w:oddHBand="0" w:evenHBand="0" w:firstRowFirstColumn="0" w:firstRowLastColumn="0" w:lastRowFirstColumn="0" w:lastRowLastColumn="0"/>
            </w:pPr>
            <w:r w:rsidRPr="008731F4">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C84853" w:rsidRPr="008731F4" w14:paraId="47479C44" w14:textId="77777777" w:rsidTr="008731F4">
        <w:tc>
          <w:tcPr>
            <w:cnfStyle w:val="001000000000" w:firstRow="0" w:lastRow="0" w:firstColumn="1" w:lastColumn="0" w:oddVBand="0" w:evenVBand="0" w:oddHBand="0" w:evenHBand="0" w:firstRowFirstColumn="0" w:firstRowLastColumn="0" w:lastRowFirstColumn="0" w:lastRowLastColumn="0"/>
            <w:tcW w:w="1721" w:type="dxa"/>
          </w:tcPr>
          <w:p w14:paraId="1BAC7053" w14:textId="77777777" w:rsidR="00C84853" w:rsidRPr="008731F4" w:rsidRDefault="00C84853" w:rsidP="00473810">
            <w:pPr>
              <w:rPr>
                <w:b w:val="0"/>
              </w:rPr>
            </w:pPr>
            <w:r w:rsidRPr="008731F4">
              <w:rPr>
                <w:b w:val="0"/>
              </w:rPr>
              <w:t>Recommended</w:t>
            </w:r>
          </w:p>
        </w:tc>
        <w:tc>
          <w:tcPr>
            <w:tcW w:w="7295" w:type="dxa"/>
          </w:tcPr>
          <w:p w14:paraId="415DD1D4" w14:textId="77777777" w:rsidR="00C84853" w:rsidRPr="008731F4" w:rsidRDefault="00C84853" w:rsidP="00473810">
            <w:pPr>
              <w:cnfStyle w:val="000000000000" w:firstRow="0" w:lastRow="0" w:firstColumn="0" w:lastColumn="0" w:oddVBand="0" w:evenVBand="0" w:oddHBand="0" w:evenHBand="0" w:firstRowFirstColumn="0" w:firstRowLastColumn="0" w:lastRowFirstColumn="0" w:lastRowLastColumn="0"/>
            </w:pPr>
            <w:r w:rsidRPr="008731F4">
              <w:t>None</w:t>
            </w:r>
          </w:p>
        </w:tc>
      </w:tr>
    </w:tbl>
    <w:p w14:paraId="244DC278" w14:textId="77777777" w:rsidR="00637D37" w:rsidRPr="00666094" w:rsidRDefault="00637D37">
      <w:pPr>
        <w:rPr>
          <w:rFonts w:cs="Calibri"/>
          <w:color w:val="000000"/>
          <w:sz w:val="20"/>
          <w:szCs w:val="20"/>
        </w:rPr>
      </w:pPr>
    </w:p>
    <w:p w14:paraId="4086C149" w14:textId="77777777" w:rsidR="00C84853" w:rsidRPr="00666094" w:rsidRDefault="00C84853" w:rsidP="008731F4">
      <w:pPr>
        <w:pStyle w:val="Heading2"/>
      </w:pPr>
      <w:r w:rsidRPr="00666094">
        <w:lastRenderedPageBreak/>
        <w:t>How will I be assessed?</w:t>
      </w:r>
    </w:p>
    <w:tbl>
      <w:tblPr>
        <w:tblStyle w:val="GridTable2-Accent1"/>
        <w:tblW w:w="6799" w:type="dxa"/>
        <w:tblLayout w:type="fixed"/>
        <w:tblLook w:val="0660" w:firstRow="1" w:lastRow="1" w:firstColumn="0" w:lastColumn="0" w:noHBand="1" w:noVBand="1"/>
      </w:tblPr>
      <w:tblGrid>
        <w:gridCol w:w="3397"/>
        <w:gridCol w:w="1758"/>
        <w:gridCol w:w="1644"/>
      </w:tblGrid>
      <w:tr w:rsidR="00637D37" w:rsidRPr="00473810" w14:paraId="79DEF7BD" w14:textId="77777777" w:rsidTr="008731F4">
        <w:trPr>
          <w:cnfStyle w:val="100000000000" w:firstRow="1" w:lastRow="0" w:firstColumn="0" w:lastColumn="0" w:oddVBand="0" w:evenVBand="0" w:oddHBand="0" w:evenHBand="0" w:firstRowFirstColumn="0" w:firstRowLastColumn="0" w:lastRowFirstColumn="0" w:lastRowLastColumn="0"/>
          <w:trHeight w:val="340"/>
        </w:trPr>
        <w:tc>
          <w:tcPr>
            <w:tcW w:w="3397" w:type="dxa"/>
          </w:tcPr>
          <w:p w14:paraId="79C57687" w14:textId="77777777" w:rsidR="00637D37" w:rsidRPr="00473810" w:rsidRDefault="00C87FE2" w:rsidP="00473810">
            <w:pPr>
              <w:keepNext/>
              <w:rPr>
                <w:b w:val="0"/>
              </w:rPr>
            </w:pPr>
            <w:r w:rsidRPr="00473810">
              <w:t>Assessment tool</w:t>
            </w:r>
          </w:p>
        </w:tc>
        <w:tc>
          <w:tcPr>
            <w:tcW w:w="1758" w:type="dxa"/>
          </w:tcPr>
          <w:p w14:paraId="27611833" w14:textId="77777777" w:rsidR="00637D37" w:rsidRPr="00473810" w:rsidRDefault="00C87FE2" w:rsidP="00473810">
            <w:pPr>
              <w:keepNext/>
              <w:rPr>
                <w:b w:val="0"/>
              </w:rPr>
            </w:pPr>
            <w:r w:rsidRPr="00473810">
              <w:t>% of final grade</w:t>
            </w:r>
          </w:p>
        </w:tc>
        <w:tc>
          <w:tcPr>
            <w:tcW w:w="1644" w:type="dxa"/>
          </w:tcPr>
          <w:p w14:paraId="52EA1971" w14:textId="77777777" w:rsidR="00637D37" w:rsidRPr="00473810" w:rsidRDefault="00C87FE2" w:rsidP="00473810">
            <w:pPr>
              <w:keepNext/>
              <w:rPr>
                <w:b w:val="0"/>
              </w:rPr>
            </w:pPr>
            <w:r w:rsidRPr="00473810">
              <w:t>Timing</w:t>
            </w:r>
          </w:p>
        </w:tc>
      </w:tr>
      <w:tr w:rsidR="00637D37" w:rsidRPr="00473810" w14:paraId="3619B9E7" w14:textId="77777777" w:rsidTr="008731F4">
        <w:trPr>
          <w:trHeight w:val="340"/>
        </w:trPr>
        <w:tc>
          <w:tcPr>
            <w:tcW w:w="3397" w:type="dxa"/>
          </w:tcPr>
          <w:p w14:paraId="79D2F8E1" w14:textId="77777777" w:rsidR="00637D37" w:rsidRPr="00473810" w:rsidRDefault="00C87FE2" w:rsidP="00473810">
            <w:pPr>
              <w:keepNext/>
            </w:pPr>
            <w:r w:rsidRPr="00473810">
              <w:t>Presentation</w:t>
            </w:r>
          </w:p>
        </w:tc>
        <w:tc>
          <w:tcPr>
            <w:tcW w:w="1758" w:type="dxa"/>
          </w:tcPr>
          <w:p w14:paraId="2DA2CD3F" w14:textId="77777777" w:rsidR="00637D37" w:rsidRPr="00473810" w:rsidRDefault="00C87FE2" w:rsidP="00473810">
            <w:pPr>
              <w:keepNext/>
            </w:pPr>
            <w:r w:rsidRPr="00473810">
              <w:t>50%</w:t>
            </w:r>
          </w:p>
        </w:tc>
        <w:tc>
          <w:tcPr>
            <w:tcW w:w="1644" w:type="dxa"/>
          </w:tcPr>
          <w:p w14:paraId="59A8A6F4" w14:textId="7923F876" w:rsidR="00637D37" w:rsidRPr="00473810" w:rsidRDefault="00A465E1" w:rsidP="00473810">
            <w:pPr>
              <w:keepNext/>
            </w:pPr>
            <w:r>
              <w:t>Week 10</w:t>
            </w:r>
          </w:p>
        </w:tc>
      </w:tr>
      <w:tr w:rsidR="00637D37" w:rsidRPr="00473810" w14:paraId="775D6420" w14:textId="77777777" w:rsidTr="008731F4">
        <w:trPr>
          <w:trHeight w:val="340"/>
        </w:trPr>
        <w:tc>
          <w:tcPr>
            <w:tcW w:w="3397" w:type="dxa"/>
          </w:tcPr>
          <w:p w14:paraId="13FDB5E7" w14:textId="77777777" w:rsidR="00637D37" w:rsidRPr="00473810" w:rsidRDefault="00C87FE2" w:rsidP="00473810">
            <w:pPr>
              <w:keepNext/>
            </w:pPr>
            <w:r w:rsidRPr="00473810">
              <w:t>Annotated presentation notes</w:t>
            </w:r>
          </w:p>
        </w:tc>
        <w:tc>
          <w:tcPr>
            <w:tcW w:w="1758" w:type="dxa"/>
          </w:tcPr>
          <w:p w14:paraId="07381060" w14:textId="77777777" w:rsidR="00637D37" w:rsidRPr="00473810" w:rsidRDefault="00C87FE2" w:rsidP="00473810">
            <w:pPr>
              <w:keepNext/>
            </w:pPr>
            <w:r w:rsidRPr="00473810">
              <w:t>50%</w:t>
            </w:r>
          </w:p>
        </w:tc>
        <w:tc>
          <w:tcPr>
            <w:tcW w:w="1644" w:type="dxa"/>
          </w:tcPr>
          <w:p w14:paraId="0CD8E1DC" w14:textId="3DA09B3A" w:rsidR="00637D37" w:rsidRPr="00473810" w:rsidRDefault="00A465E1" w:rsidP="00473810">
            <w:pPr>
              <w:keepNext/>
            </w:pPr>
            <w:r>
              <w:t>Week 12</w:t>
            </w:r>
          </w:p>
        </w:tc>
      </w:tr>
      <w:tr w:rsidR="00637D37" w:rsidRPr="00473810" w14:paraId="6CCE09D4" w14:textId="77777777" w:rsidTr="008731F4">
        <w:trPr>
          <w:cnfStyle w:val="010000000000" w:firstRow="0" w:lastRow="1" w:firstColumn="0" w:lastColumn="0" w:oddVBand="0" w:evenVBand="0" w:oddHBand="0" w:evenHBand="0" w:firstRowFirstColumn="0" w:firstRowLastColumn="0" w:lastRowFirstColumn="0" w:lastRowLastColumn="0"/>
          <w:trHeight w:val="340"/>
        </w:trPr>
        <w:tc>
          <w:tcPr>
            <w:tcW w:w="3397" w:type="dxa"/>
          </w:tcPr>
          <w:p w14:paraId="54D70A19" w14:textId="77777777" w:rsidR="00637D37" w:rsidRPr="00473810" w:rsidRDefault="00C87FE2" w:rsidP="00473810">
            <w:pPr>
              <w:rPr>
                <w:b w:val="0"/>
              </w:rPr>
            </w:pPr>
            <w:r w:rsidRPr="00473810">
              <w:rPr>
                <w:b w:val="0"/>
              </w:rPr>
              <w:t>Total</w:t>
            </w:r>
          </w:p>
        </w:tc>
        <w:tc>
          <w:tcPr>
            <w:tcW w:w="1758" w:type="dxa"/>
          </w:tcPr>
          <w:p w14:paraId="58AB3F44" w14:textId="77777777" w:rsidR="00637D37" w:rsidRPr="00473810" w:rsidRDefault="00C87FE2" w:rsidP="00473810">
            <w:pPr>
              <w:rPr>
                <w:b w:val="0"/>
              </w:rPr>
            </w:pPr>
            <w:r w:rsidRPr="00473810">
              <w:rPr>
                <w:b w:val="0"/>
              </w:rPr>
              <w:t>100%</w:t>
            </w:r>
          </w:p>
        </w:tc>
        <w:tc>
          <w:tcPr>
            <w:tcW w:w="1644" w:type="dxa"/>
          </w:tcPr>
          <w:p w14:paraId="3CA6F9E8" w14:textId="77777777" w:rsidR="00637D37" w:rsidRPr="00473810" w:rsidRDefault="00637D37" w:rsidP="00473810">
            <w:pPr>
              <w:rPr>
                <w:b w:val="0"/>
              </w:rPr>
            </w:pPr>
          </w:p>
        </w:tc>
      </w:tr>
    </w:tbl>
    <w:p w14:paraId="410FC87E" w14:textId="77777777" w:rsidR="00C84853" w:rsidRDefault="00C84853" w:rsidP="00C84853"/>
    <w:tbl>
      <w:tblPr>
        <w:tblStyle w:val="GridTable2-Accent1"/>
        <w:tblW w:w="0" w:type="auto"/>
        <w:tblLook w:val="0620" w:firstRow="1" w:lastRow="0" w:firstColumn="0" w:lastColumn="0" w:noHBand="1" w:noVBand="1"/>
      </w:tblPr>
      <w:tblGrid>
        <w:gridCol w:w="3397"/>
        <w:gridCol w:w="3402"/>
      </w:tblGrid>
      <w:tr w:rsidR="00C84853" w:rsidRPr="008731F4" w14:paraId="2D57659F" w14:textId="77777777" w:rsidTr="008731F4">
        <w:trPr>
          <w:cnfStyle w:val="100000000000" w:firstRow="1" w:lastRow="0" w:firstColumn="0" w:lastColumn="0" w:oddVBand="0" w:evenVBand="0" w:oddHBand="0" w:evenHBand="0" w:firstRowFirstColumn="0" w:firstRowLastColumn="0" w:lastRowFirstColumn="0" w:lastRowLastColumn="0"/>
          <w:trHeight w:val="340"/>
        </w:trPr>
        <w:tc>
          <w:tcPr>
            <w:tcW w:w="3397" w:type="dxa"/>
          </w:tcPr>
          <w:p w14:paraId="6C1E47B7" w14:textId="77777777" w:rsidR="00C84853" w:rsidRPr="008731F4" w:rsidRDefault="00C84853" w:rsidP="008731F4">
            <w:pPr>
              <w:rPr>
                <w:b w:val="0"/>
              </w:rPr>
            </w:pPr>
            <w:r w:rsidRPr="008731F4">
              <w:rPr>
                <w:b w:val="0"/>
              </w:rPr>
              <w:t>Assessment tool</w:t>
            </w:r>
          </w:p>
        </w:tc>
        <w:tc>
          <w:tcPr>
            <w:tcW w:w="3402" w:type="dxa"/>
          </w:tcPr>
          <w:p w14:paraId="60B2258C" w14:textId="77777777" w:rsidR="00C84853" w:rsidRPr="008731F4" w:rsidRDefault="00C84853" w:rsidP="008731F4">
            <w:pPr>
              <w:rPr>
                <w:b w:val="0"/>
              </w:rPr>
            </w:pPr>
            <w:r w:rsidRPr="008731F4">
              <w:rPr>
                <w:b w:val="0"/>
              </w:rPr>
              <w:t>Learning outcomes assessed</w:t>
            </w:r>
          </w:p>
        </w:tc>
      </w:tr>
      <w:tr w:rsidR="00473810" w:rsidRPr="008731F4" w14:paraId="3ADBE67A" w14:textId="77777777" w:rsidTr="008731F4">
        <w:trPr>
          <w:trHeight w:val="340"/>
        </w:trPr>
        <w:tc>
          <w:tcPr>
            <w:tcW w:w="3397" w:type="dxa"/>
          </w:tcPr>
          <w:p w14:paraId="0CE23E9C" w14:textId="2C4BCC25" w:rsidR="00473810" w:rsidRPr="008731F4" w:rsidRDefault="00473810" w:rsidP="008731F4">
            <w:r w:rsidRPr="008731F4">
              <w:t>Presentation</w:t>
            </w:r>
          </w:p>
        </w:tc>
        <w:tc>
          <w:tcPr>
            <w:tcW w:w="3402" w:type="dxa"/>
          </w:tcPr>
          <w:p w14:paraId="5E88A2D6" w14:textId="7CF7A3A4" w:rsidR="00473810" w:rsidRPr="008731F4" w:rsidRDefault="00A465E1" w:rsidP="008731F4">
            <w:r w:rsidRPr="008731F4">
              <w:t>1,2,3</w:t>
            </w:r>
          </w:p>
        </w:tc>
      </w:tr>
      <w:tr w:rsidR="00473810" w:rsidRPr="008731F4" w14:paraId="2C810887" w14:textId="77777777" w:rsidTr="008731F4">
        <w:trPr>
          <w:trHeight w:val="340"/>
        </w:trPr>
        <w:tc>
          <w:tcPr>
            <w:tcW w:w="3397" w:type="dxa"/>
          </w:tcPr>
          <w:p w14:paraId="21259E07" w14:textId="18404E3E" w:rsidR="00473810" w:rsidRPr="008731F4" w:rsidRDefault="00473810" w:rsidP="008731F4">
            <w:r w:rsidRPr="008731F4">
              <w:t>Annotated presentation notes</w:t>
            </w:r>
          </w:p>
        </w:tc>
        <w:tc>
          <w:tcPr>
            <w:tcW w:w="3402" w:type="dxa"/>
          </w:tcPr>
          <w:p w14:paraId="3B2C45DD" w14:textId="67D415EA" w:rsidR="00473810" w:rsidRPr="008731F4" w:rsidRDefault="00A465E1" w:rsidP="008731F4">
            <w:r w:rsidRPr="008731F4">
              <w:t>1,2,3</w:t>
            </w:r>
          </w:p>
        </w:tc>
      </w:tr>
    </w:tbl>
    <w:p w14:paraId="21B555F9" w14:textId="77777777" w:rsidR="00C84853" w:rsidRPr="00666094" w:rsidRDefault="00C84853" w:rsidP="008731F4">
      <w:pPr>
        <w:pStyle w:val="Heading2"/>
        <w:rPr>
          <w:rFonts w:eastAsia="Calibri"/>
        </w:rPr>
      </w:pPr>
      <w:r w:rsidRPr="00666094">
        <w:rPr>
          <w:rFonts w:eastAsia="Calibri"/>
        </w:rPr>
        <w:t>Feedback, results and grading</w:t>
      </w:r>
    </w:p>
    <w:p w14:paraId="44AFFC63" w14:textId="67324DB9" w:rsidR="00C84853" w:rsidRPr="00666094" w:rsidRDefault="00C84853" w:rsidP="00473810">
      <w:pPr>
        <w:pStyle w:val="ListParagraph"/>
      </w:pPr>
      <w:r w:rsidRPr="00666094">
        <w:t xml:space="preserve">Students are required to make a presentation to their peers and at least one tutor. </w:t>
      </w:r>
      <w:r w:rsidR="008731F4">
        <w:t xml:space="preserve"> </w:t>
      </w:r>
      <w:r w:rsidRPr="00666094">
        <w:t xml:space="preserve">They will receive informal feedback and then be required to submit the presentation as an illustrated text, for which they will receive written feedback. </w:t>
      </w:r>
      <w:r w:rsidR="008731F4">
        <w:t xml:space="preserve"> </w:t>
      </w:r>
      <w:r w:rsidRPr="00666094">
        <w:t xml:space="preserve">The work will be assessed against </w:t>
      </w:r>
      <w:hyperlink r:id="rId8" w:history="1">
        <w:r w:rsidRPr="008731F4">
          <w:rPr>
            <w:rStyle w:val="Hyperlink"/>
          </w:rPr>
          <w:t xml:space="preserve">NCAD Grade </w:t>
        </w:r>
        <w:r w:rsidR="008731F4" w:rsidRPr="008731F4">
          <w:rPr>
            <w:rStyle w:val="Hyperlink"/>
          </w:rPr>
          <w:t>Descriptors</w:t>
        </w:r>
      </w:hyperlink>
      <w:r>
        <w:t>.</w:t>
      </w:r>
    </w:p>
    <w:p w14:paraId="3A590063" w14:textId="77777777" w:rsidR="00C84853" w:rsidRPr="00666094" w:rsidRDefault="00C84853" w:rsidP="008731F4">
      <w:pPr>
        <w:pStyle w:val="Heading2"/>
        <w:rPr>
          <w:rFonts w:eastAsia="Calibri"/>
        </w:rPr>
      </w:pPr>
      <w:r w:rsidRPr="00666094">
        <w:rPr>
          <w:rFonts w:eastAsia="Calibri"/>
        </w:rPr>
        <w:t>What happens if I fail?</w:t>
      </w:r>
    </w:p>
    <w:p w14:paraId="12D65D60" w14:textId="77777777" w:rsidR="00C84853" w:rsidRPr="00C84853" w:rsidRDefault="00C84853" w:rsidP="00473810">
      <w:pPr>
        <w:pStyle w:val="ListParagraph"/>
      </w:pPr>
      <w:r w:rsidRPr="00C84853">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68685711" w14:textId="4E59A206" w:rsidR="00C84853" w:rsidRDefault="00C84853" w:rsidP="008731F4">
      <w:pPr>
        <w:pStyle w:val="Heading2"/>
        <w:rPr>
          <w:rFonts w:eastAsia="Calibri"/>
        </w:rPr>
      </w:pPr>
      <w:r w:rsidRPr="00666094">
        <w:rPr>
          <w:rFonts w:eastAsia="Calibri"/>
        </w:rPr>
        <w:t>When and where is this module offered?</w:t>
      </w:r>
    </w:p>
    <w:p w14:paraId="5FA9AF39" w14:textId="11773678" w:rsidR="00A465E1" w:rsidRPr="00A465E1" w:rsidRDefault="00A465E1" w:rsidP="00A465E1">
      <w:r>
        <w:t>Venue tbc / week 1-11</w:t>
      </w:r>
      <w:r w:rsidR="00E64F98">
        <w:t xml:space="preserve"> of Trimester 2</w:t>
      </w:r>
    </w:p>
    <w:p w14:paraId="5A6A9A30" w14:textId="77777777" w:rsidR="00C84853" w:rsidRPr="00666094" w:rsidRDefault="00C84853" w:rsidP="008731F4">
      <w:pPr>
        <w:pStyle w:val="Heading2"/>
      </w:pPr>
      <w:r w:rsidRPr="00666094">
        <w:t>How will I have the chance to evaluate the module?</w:t>
      </w:r>
    </w:p>
    <w:p w14:paraId="46A9FE2D" w14:textId="77777777" w:rsidR="00C84853" w:rsidRPr="00666094" w:rsidRDefault="00C84853" w:rsidP="00473810">
      <w:pPr>
        <w:pStyle w:val="ListParagraph"/>
      </w:pPr>
      <w:r w:rsidRPr="00666094">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288DCEB" w14:textId="29B0F527" w:rsidR="00C84853" w:rsidRPr="00666094" w:rsidRDefault="00C84853" w:rsidP="00473810">
      <w:pPr>
        <w:pStyle w:val="ListParagraph"/>
      </w:pPr>
      <w:r w:rsidRPr="00666094">
        <w:t xml:space="preserve">About two-thirds of the way through the </w:t>
      </w:r>
      <w:r w:rsidR="008731F4">
        <w:t>year</w:t>
      </w:r>
      <w:r w:rsidRPr="00666094">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578FCB4F" w14:textId="77777777" w:rsidR="00C84853" w:rsidRPr="00666094" w:rsidRDefault="00C84853" w:rsidP="00473810">
      <w:pPr>
        <w:pStyle w:val="ListParagraph"/>
      </w:pPr>
      <w:r w:rsidRPr="00666094">
        <w:t>In addition, you are invited to discuss your experience on the module with your lecturers at any point during the year.  You can also relay your comments to the class student representative who will communicate your comments to the staff.</w:t>
      </w:r>
    </w:p>
    <w:p w14:paraId="4CB411E6" w14:textId="77777777" w:rsidR="00637D37" w:rsidRPr="00666094" w:rsidRDefault="00637D37">
      <w:pPr>
        <w:rPr>
          <w:rFonts w:cs="Calibri"/>
          <w:color w:val="000000"/>
          <w:sz w:val="20"/>
          <w:szCs w:val="20"/>
        </w:rPr>
      </w:pPr>
    </w:p>
    <w:p w14:paraId="331F93F9" w14:textId="131EE6F8" w:rsidR="00637D37" w:rsidRPr="008731F4" w:rsidRDefault="00C87FE2" w:rsidP="008731F4">
      <w:pPr>
        <w:jc w:val="center"/>
        <w:rPr>
          <w:b/>
          <w:sz w:val="24"/>
        </w:rPr>
      </w:pPr>
      <w:r w:rsidRPr="008731F4">
        <w:rPr>
          <w:b/>
          <w:sz w:val="24"/>
        </w:rPr>
        <w:t>For further details on the content of your module and teaching arrangements</w:t>
      </w:r>
      <w:r w:rsidR="008731F4">
        <w:rPr>
          <w:b/>
          <w:sz w:val="24"/>
        </w:rPr>
        <w:t>,</w:t>
      </w:r>
      <w:r w:rsidR="008731F4">
        <w:rPr>
          <w:b/>
          <w:sz w:val="24"/>
        </w:rPr>
        <w:br/>
      </w:r>
      <w:r w:rsidRPr="008731F4">
        <w:rPr>
          <w:b/>
          <w:sz w:val="24"/>
        </w:rPr>
        <w:t>consult your Programme or Module Handbook</w:t>
      </w:r>
      <w:r w:rsidR="008731F4">
        <w:rPr>
          <w:b/>
          <w:sz w:val="24"/>
        </w:rPr>
        <w:t>.</w:t>
      </w:r>
    </w:p>
    <w:sectPr w:rsidR="00637D37" w:rsidRPr="008731F4" w:rsidSect="00C848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7B6F" w14:textId="77777777" w:rsidR="00EF6BAE" w:rsidRDefault="00EF6BAE">
      <w:r>
        <w:separator/>
      </w:r>
    </w:p>
  </w:endnote>
  <w:endnote w:type="continuationSeparator" w:id="0">
    <w:p w14:paraId="05F47443" w14:textId="77777777" w:rsidR="00EF6BAE" w:rsidRDefault="00EF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8CD" w14:textId="4B94A212" w:rsidR="00637D37" w:rsidRDefault="00C87FE2">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VC3-3 Visual Culture Placement </w:t>
    </w: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separate"/>
    </w:r>
    <w:r w:rsidR="00C84853">
      <w:rPr>
        <w:rFonts w:cs="Calibri"/>
        <w:i/>
        <w:noProof/>
        <w:color w:val="000000"/>
        <w:sz w:val="18"/>
        <w:szCs w:val="18"/>
      </w:rPr>
      <w:t>2</w: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C84853">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386F0015" w14:textId="77777777" w:rsidR="00DD1783" w:rsidRDefault="00DD1783" w:rsidP="00DD1783">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w:t>
    </w:r>
    <w:r>
      <w:rPr>
        <w:rFonts w:cs="Calibri"/>
        <w:i/>
        <w:color w:val="000000"/>
        <w:sz w:val="18"/>
        <w:szCs w:val="18"/>
      </w:rPr>
      <w:t xml:space="preserve"> 20</w:t>
    </w:r>
    <w:r>
      <w:rPr>
        <w:i/>
        <w:sz w:val="18"/>
        <w:szCs w:val="18"/>
      </w:rPr>
      <w:t>21</w:t>
    </w:r>
    <w:r>
      <w:rPr>
        <w:i/>
        <w:sz w:val="18"/>
        <w:szCs w:val="18"/>
      </w:rPr>
      <w:tab/>
    </w:r>
    <w:r>
      <w:rPr>
        <w:rFonts w:cs="Calibri"/>
        <w:i/>
        <w:color w:val="000000"/>
        <w:sz w:val="18"/>
        <w:szCs w:val="18"/>
      </w:rPr>
      <w:tab/>
      <w:t xml:space="preserve">Next review: </w:t>
    </w:r>
    <w:r>
      <w:rPr>
        <w:i/>
        <w:sz w:val="18"/>
        <w:szCs w:val="18"/>
      </w:rPr>
      <w:t>Sept</w:t>
    </w:r>
    <w:r>
      <w:rPr>
        <w:rFonts w:cs="Calibri"/>
        <w:i/>
        <w:color w:val="000000"/>
        <w:sz w:val="18"/>
        <w:szCs w:val="18"/>
      </w:rPr>
      <w:t xml:space="preserve"> 202</w:t>
    </w:r>
    <w:r>
      <w:rPr>
        <w:i/>
        <w:sz w:val="18"/>
        <w:szCs w:val="18"/>
      </w:rPr>
      <w:t>2</w:t>
    </w:r>
  </w:p>
  <w:p w14:paraId="270B3EE0" w14:textId="77777777" w:rsidR="00637D37" w:rsidRDefault="00C87FE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36CD" w14:textId="77777777" w:rsidR="008731F4" w:rsidRDefault="008731F4" w:rsidP="008731F4">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VC3-3 Visual Culture Placement </w:t>
    </w:r>
    <w:r>
      <w:rPr>
        <w:rFonts w:cs="Calibri"/>
        <w:i/>
        <w:color w:val="000000"/>
        <w:sz w:val="18"/>
        <w:szCs w:val="18"/>
      </w:rPr>
      <w:tab/>
    </w:r>
    <w:r>
      <w:rPr>
        <w:rFonts w:cs="Calibri"/>
        <w:i/>
        <w:color w:val="000000"/>
        <w:sz w:val="18"/>
        <w:szCs w:val="18"/>
      </w:rPr>
      <w:tab/>
      <w:t>Module Descriptor</w:t>
    </w:r>
  </w:p>
  <w:p w14:paraId="32940A79" w14:textId="520A17EE" w:rsidR="008731F4" w:rsidRDefault="00C43404" w:rsidP="008731F4">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8731F4">
      <w:rPr>
        <w:i/>
        <w:sz w:val="18"/>
        <w:szCs w:val="18"/>
      </w:rPr>
      <w:tab/>
    </w:r>
    <w:r w:rsidR="008731F4">
      <w:rPr>
        <w:rFonts w:cs="Calibri"/>
        <w:i/>
        <w:color w:val="000000"/>
        <w:sz w:val="18"/>
        <w:szCs w:val="18"/>
      </w:rPr>
      <w:t xml:space="preserve">Page </w:t>
    </w:r>
    <w:r w:rsidR="008731F4">
      <w:rPr>
        <w:rFonts w:cs="Calibri"/>
        <w:i/>
        <w:color w:val="000000"/>
        <w:sz w:val="18"/>
        <w:szCs w:val="18"/>
      </w:rPr>
      <w:fldChar w:fldCharType="begin"/>
    </w:r>
    <w:r w:rsidR="008731F4">
      <w:rPr>
        <w:rFonts w:cs="Calibri"/>
        <w:i/>
        <w:color w:val="000000"/>
        <w:sz w:val="18"/>
        <w:szCs w:val="18"/>
      </w:rPr>
      <w:instrText>PAGE</w:instrText>
    </w:r>
    <w:r w:rsidR="008731F4">
      <w:rPr>
        <w:rFonts w:cs="Calibri"/>
        <w:i/>
        <w:color w:val="000000"/>
        <w:sz w:val="18"/>
        <w:szCs w:val="18"/>
      </w:rPr>
      <w:fldChar w:fldCharType="separate"/>
    </w:r>
    <w:r w:rsidR="008731F4">
      <w:rPr>
        <w:rFonts w:cs="Calibri"/>
        <w:i/>
        <w:color w:val="000000"/>
        <w:sz w:val="18"/>
        <w:szCs w:val="18"/>
      </w:rPr>
      <w:t>1</w:t>
    </w:r>
    <w:r w:rsidR="008731F4">
      <w:rPr>
        <w:rFonts w:cs="Calibri"/>
        <w:i/>
        <w:color w:val="000000"/>
        <w:sz w:val="18"/>
        <w:szCs w:val="18"/>
      </w:rPr>
      <w:fldChar w:fldCharType="end"/>
    </w:r>
    <w:r w:rsidR="008731F4">
      <w:rPr>
        <w:rFonts w:cs="Calibri"/>
        <w:i/>
        <w:color w:val="000000"/>
        <w:sz w:val="18"/>
        <w:szCs w:val="18"/>
      </w:rPr>
      <w:t xml:space="preserve"> of </w:t>
    </w:r>
    <w:r w:rsidR="008731F4">
      <w:rPr>
        <w:rFonts w:cs="Calibri"/>
        <w:i/>
        <w:color w:val="000000"/>
        <w:sz w:val="18"/>
        <w:szCs w:val="18"/>
      </w:rPr>
      <w:fldChar w:fldCharType="begin"/>
    </w:r>
    <w:r w:rsidR="008731F4">
      <w:rPr>
        <w:rFonts w:cs="Calibri"/>
        <w:i/>
        <w:color w:val="000000"/>
        <w:sz w:val="18"/>
        <w:szCs w:val="18"/>
      </w:rPr>
      <w:instrText>NUMPAGES</w:instrText>
    </w:r>
    <w:r w:rsidR="008731F4">
      <w:rPr>
        <w:rFonts w:cs="Calibri"/>
        <w:i/>
        <w:color w:val="000000"/>
        <w:sz w:val="18"/>
        <w:szCs w:val="18"/>
      </w:rPr>
      <w:fldChar w:fldCharType="separate"/>
    </w:r>
    <w:r w:rsidR="008731F4">
      <w:rPr>
        <w:rFonts w:cs="Calibri"/>
        <w:i/>
        <w:color w:val="000000"/>
        <w:sz w:val="18"/>
        <w:szCs w:val="18"/>
      </w:rPr>
      <w:t>3</w:t>
    </w:r>
    <w:r w:rsidR="008731F4">
      <w:rPr>
        <w:rFonts w:cs="Calibri"/>
        <w:i/>
        <w:color w:val="000000"/>
        <w:sz w:val="18"/>
        <w:szCs w:val="18"/>
      </w:rPr>
      <w:fldChar w:fldCharType="end"/>
    </w:r>
    <w:r w:rsidR="008731F4">
      <w:rPr>
        <w:rFonts w:cs="Calibri"/>
        <w:i/>
        <w:color w:val="000000"/>
        <w:sz w:val="18"/>
        <w:szCs w:val="18"/>
      </w:rPr>
      <w:tab/>
    </w:r>
    <w:bookmarkStart w:id="0" w:name="_GoBack"/>
    <w:bookmarkEnd w:id="0"/>
  </w:p>
  <w:p w14:paraId="4D328C25" w14:textId="77777777" w:rsidR="00637D37" w:rsidRDefault="00C87FE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B989" w14:textId="5D7506EE" w:rsidR="00637D37" w:rsidRDefault="00C87FE2">
    <w:pPr>
      <w:pBdr>
        <w:top w:val="single" w:sz="4" w:space="1" w:color="5B9BD5"/>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VC3-3 Visual Culture Placement </w:t>
    </w:r>
    <w:r>
      <w:rPr>
        <w:rFonts w:cs="Calibri"/>
        <w:i/>
        <w:color w:val="000000"/>
        <w:sz w:val="18"/>
        <w:szCs w:val="18"/>
      </w:rPr>
      <w:tab/>
    </w:r>
    <w:r>
      <w:rPr>
        <w:rFonts w:cs="Calibri"/>
        <w:i/>
        <w:color w:val="000000"/>
        <w:sz w:val="18"/>
        <w:szCs w:val="18"/>
      </w:rPr>
      <w:tab/>
      <w:t>Module Descriptor</w:t>
    </w:r>
  </w:p>
  <w:p w14:paraId="053AB644" w14:textId="0421016F" w:rsidR="00DD1783" w:rsidRDefault="00C43404" w:rsidP="00DD1783">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DD1783">
      <w:rPr>
        <w:i/>
        <w:sz w:val="18"/>
        <w:szCs w:val="18"/>
      </w:rPr>
      <w:tab/>
    </w:r>
    <w:r w:rsidR="008731F4">
      <w:rPr>
        <w:rFonts w:cs="Calibri"/>
        <w:i/>
        <w:color w:val="000000"/>
        <w:sz w:val="18"/>
        <w:szCs w:val="18"/>
      </w:rPr>
      <w:t xml:space="preserve">Page </w:t>
    </w:r>
    <w:r w:rsidR="008731F4">
      <w:rPr>
        <w:rFonts w:cs="Calibri"/>
        <w:i/>
        <w:color w:val="000000"/>
        <w:sz w:val="18"/>
        <w:szCs w:val="18"/>
      </w:rPr>
      <w:fldChar w:fldCharType="begin"/>
    </w:r>
    <w:r w:rsidR="008731F4">
      <w:rPr>
        <w:rFonts w:cs="Calibri"/>
        <w:i/>
        <w:color w:val="000000"/>
        <w:sz w:val="18"/>
        <w:szCs w:val="18"/>
      </w:rPr>
      <w:instrText>PAGE</w:instrText>
    </w:r>
    <w:r w:rsidR="008731F4">
      <w:rPr>
        <w:rFonts w:cs="Calibri"/>
        <w:i/>
        <w:color w:val="000000"/>
        <w:sz w:val="18"/>
        <w:szCs w:val="18"/>
      </w:rPr>
      <w:fldChar w:fldCharType="separate"/>
    </w:r>
    <w:r w:rsidR="008731F4">
      <w:rPr>
        <w:rFonts w:cs="Calibri"/>
        <w:i/>
        <w:color w:val="000000"/>
        <w:sz w:val="18"/>
        <w:szCs w:val="18"/>
      </w:rPr>
      <w:t>1</w:t>
    </w:r>
    <w:r w:rsidR="008731F4">
      <w:rPr>
        <w:rFonts w:cs="Calibri"/>
        <w:i/>
        <w:color w:val="000000"/>
        <w:sz w:val="18"/>
        <w:szCs w:val="18"/>
      </w:rPr>
      <w:fldChar w:fldCharType="end"/>
    </w:r>
    <w:r w:rsidR="008731F4">
      <w:rPr>
        <w:rFonts w:cs="Calibri"/>
        <w:i/>
        <w:color w:val="000000"/>
        <w:sz w:val="18"/>
        <w:szCs w:val="18"/>
      </w:rPr>
      <w:t xml:space="preserve"> of </w:t>
    </w:r>
    <w:r w:rsidR="008731F4">
      <w:rPr>
        <w:rFonts w:cs="Calibri"/>
        <w:i/>
        <w:color w:val="000000"/>
        <w:sz w:val="18"/>
        <w:szCs w:val="18"/>
      </w:rPr>
      <w:fldChar w:fldCharType="begin"/>
    </w:r>
    <w:r w:rsidR="008731F4">
      <w:rPr>
        <w:rFonts w:cs="Calibri"/>
        <w:i/>
        <w:color w:val="000000"/>
        <w:sz w:val="18"/>
        <w:szCs w:val="18"/>
      </w:rPr>
      <w:instrText>NUMPAGES</w:instrText>
    </w:r>
    <w:r w:rsidR="008731F4">
      <w:rPr>
        <w:rFonts w:cs="Calibri"/>
        <w:i/>
        <w:color w:val="000000"/>
        <w:sz w:val="18"/>
        <w:szCs w:val="18"/>
      </w:rPr>
      <w:fldChar w:fldCharType="separate"/>
    </w:r>
    <w:r w:rsidR="008731F4">
      <w:rPr>
        <w:rFonts w:cs="Calibri"/>
        <w:i/>
        <w:color w:val="000000"/>
        <w:sz w:val="18"/>
        <w:szCs w:val="18"/>
      </w:rPr>
      <w:t>3</w:t>
    </w:r>
    <w:r w:rsidR="008731F4">
      <w:rPr>
        <w:rFonts w:cs="Calibri"/>
        <w:i/>
        <w:color w:val="000000"/>
        <w:sz w:val="18"/>
        <w:szCs w:val="18"/>
      </w:rPr>
      <w:fldChar w:fldCharType="end"/>
    </w:r>
    <w:r w:rsidR="00DD1783">
      <w:rPr>
        <w:rFonts w:cs="Calibri"/>
        <w:i/>
        <w:color w:val="000000"/>
        <w:sz w:val="18"/>
        <w:szCs w:val="18"/>
      </w:rPr>
      <w:tab/>
    </w:r>
  </w:p>
  <w:p w14:paraId="6092F9F8" w14:textId="77777777" w:rsidR="00637D37" w:rsidRDefault="00C87FE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This document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B121" w14:textId="77777777" w:rsidR="00EF6BAE" w:rsidRDefault="00EF6BAE">
      <w:r>
        <w:separator/>
      </w:r>
    </w:p>
  </w:footnote>
  <w:footnote w:type="continuationSeparator" w:id="0">
    <w:p w14:paraId="74C6E0CA" w14:textId="77777777" w:rsidR="00EF6BAE" w:rsidRDefault="00EF6BAE">
      <w:r>
        <w:continuationSeparator/>
      </w:r>
    </w:p>
  </w:footnote>
  <w:footnote w:id="1">
    <w:p w14:paraId="0679C7D5" w14:textId="00E4C185" w:rsidR="00682EA1" w:rsidRDefault="00682EA1">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D50" w14:textId="77777777" w:rsidR="00637D37" w:rsidRDefault="00C87FE2">
    <w:pPr>
      <w:pBdr>
        <w:top w:val="nil"/>
        <w:left w:val="nil"/>
        <w:bottom w:val="nil"/>
        <w:right w:val="nil"/>
        <w:between w:val="nil"/>
      </w:pBdr>
      <w:tabs>
        <w:tab w:val="center" w:pos="4513"/>
        <w:tab w:val="right" w:pos="9026"/>
      </w:tabs>
      <w:rPr>
        <w:rFonts w:cs="Calibri"/>
        <w:color w:val="000000"/>
        <w:szCs w:val="22"/>
      </w:rPr>
    </w:pPr>
    <w:r>
      <w:rPr>
        <w:rFonts w:cs="Calibri"/>
        <w:noProof/>
        <w:color w:val="000000"/>
        <w:szCs w:val="22"/>
        <w:lang w:eastAsia="en-IE"/>
      </w:rPr>
      <w:drawing>
        <wp:inline distT="0" distB="0" distL="0" distR="0" wp14:anchorId="52A892E5" wp14:editId="281835BE">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4835" w14:textId="6D11C206" w:rsidR="00637D37" w:rsidRDefault="008731F4">
    <w:pPr>
      <w:pBdr>
        <w:top w:val="nil"/>
        <w:left w:val="nil"/>
        <w:bottom w:val="nil"/>
        <w:right w:val="nil"/>
        <w:between w:val="nil"/>
      </w:pBdr>
      <w:tabs>
        <w:tab w:val="center" w:pos="4513"/>
        <w:tab w:val="right" w:pos="9026"/>
      </w:tabs>
      <w:jc w:val="right"/>
      <w:rPr>
        <w:rFonts w:cs="Calibri"/>
        <w:color w:val="000000"/>
        <w:szCs w:val="22"/>
      </w:rPr>
    </w:pPr>
    <w:r>
      <w:rPr>
        <w:rFonts w:cs="Calibri"/>
        <w:noProof/>
        <w:color w:val="000000"/>
        <w:szCs w:val="22"/>
      </w:rPr>
      <w:drawing>
        <wp:inline distT="0" distB="0" distL="0" distR="0" wp14:anchorId="5D4D5B6F" wp14:editId="145374CE">
          <wp:extent cx="900000" cy="3952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275F" w14:textId="2F97CCD0" w:rsidR="00637D37" w:rsidRDefault="008731F4">
    <w:pPr>
      <w:pBdr>
        <w:top w:val="nil"/>
        <w:left w:val="nil"/>
        <w:bottom w:val="nil"/>
        <w:right w:val="nil"/>
        <w:between w:val="nil"/>
      </w:pBdr>
      <w:tabs>
        <w:tab w:val="center" w:pos="4513"/>
        <w:tab w:val="right" w:pos="9026"/>
        <w:tab w:val="right" w:pos="13892"/>
      </w:tabs>
      <w:jc w:val="right"/>
      <w:rPr>
        <w:rFonts w:cs="Calibri"/>
        <w:color w:val="000000"/>
        <w:szCs w:val="22"/>
      </w:rPr>
    </w:pPr>
    <w:r>
      <w:rPr>
        <w:rFonts w:cs="Calibri"/>
        <w:noProof/>
        <w:color w:val="000000"/>
        <w:szCs w:val="22"/>
      </w:rPr>
      <w:drawing>
        <wp:inline distT="0" distB="0" distL="0" distR="0" wp14:anchorId="6D990D51" wp14:editId="02E1314D">
          <wp:extent cx="1080000" cy="4743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5D82"/>
    <w:multiLevelType w:val="hybridMultilevel"/>
    <w:tmpl w:val="A0F6A404"/>
    <w:lvl w:ilvl="0" w:tplc="B6C650C0">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B519F1"/>
    <w:multiLevelType w:val="multilevel"/>
    <w:tmpl w:val="B7EE96D2"/>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DE4A7B"/>
    <w:multiLevelType w:val="multilevel"/>
    <w:tmpl w:val="0B5E7B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7E31FD"/>
    <w:multiLevelType w:val="multilevel"/>
    <w:tmpl w:val="0B5E7B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37"/>
    <w:rsid w:val="00203B57"/>
    <w:rsid w:val="003B4871"/>
    <w:rsid w:val="00447A53"/>
    <w:rsid w:val="00473810"/>
    <w:rsid w:val="004D07C7"/>
    <w:rsid w:val="005C0101"/>
    <w:rsid w:val="005D7A04"/>
    <w:rsid w:val="00637D37"/>
    <w:rsid w:val="00666094"/>
    <w:rsid w:val="00682EA1"/>
    <w:rsid w:val="008731F4"/>
    <w:rsid w:val="00883F3B"/>
    <w:rsid w:val="00894DB6"/>
    <w:rsid w:val="008D2586"/>
    <w:rsid w:val="008E1B39"/>
    <w:rsid w:val="00A465E1"/>
    <w:rsid w:val="00A63393"/>
    <w:rsid w:val="00B1690A"/>
    <w:rsid w:val="00B3365D"/>
    <w:rsid w:val="00C43404"/>
    <w:rsid w:val="00C84853"/>
    <w:rsid w:val="00C87FE2"/>
    <w:rsid w:val="00CE3410"/>
    <w:rsid w:val="00D47A86"/>
    <w:rsid w:val="00DB45BB"/>
    <w:rsid w:val="00DD1783"/>
    <w:rsid w:val="00E64F98"/>
    <w:rsid w:val="00EA02E4"/>
    <w:rsid w:val="00EF6B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CE3D"/>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F0"/>
    <w:rPr>
      <w:rFonts w:cs="Times New Roman"/>
      <w:szCs w:val="24"/>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731F4"/>
    <w:pPr>
      <w:keepNext/>
      <w:keepLines/>
      <w:numPr>
        <w:numId w:val="3"/>
      </w:numPr>
      <w:pBdr>
        <w:bottom w:val="single" w:sz="8" w:space="1" w:color="2F5496" w:themeColor="accent5" w:themeShade="BF"/>
      </w:pBdr>
      <w:spacing w:before="360" w:after="120"/>
      <w:ind w:left="567" w:hanging="567"/>
      <w:outlineLvl w:val="1"/>
    </w:pPr>
    <w:rPr>
      <w:rFonts w:eastAsiaTheme="majorEastAsia" w:cs="Calibri"/>
      <w:color w:val="2F5496" w:themeColor="accent5" w:themeShade="BF"/>
      <w:sz w:val="28"/>
      <w:szCs w:val="26"/>
    </w:rPr>
  </w:style>
  <w:style w:type="paragraph" w:styleId="Heading3">
    <w:name w:val="heading 3"/>
    <w:basedOn w:val="Normal"/>
    <w:next w:val="Normal"/>
    <w:link w:val="Heading3Char"/>
    <w:uiPriority w:val="9"/>
    <w:unhideWhenUsed/>
    <w:qFormat/>
    <w:rsid w:val="008731F4"/>
    <w:pPr>
      <w:keepNext/>
      <w:spacing w:before="240" w:after="120"/>
      <w:outlineLvl w:val="2"/>
    </w:pPr>
    <w:rPr>
      <w:rFonts w:asciiTheme="minorHAnsi" w:hAnsiTheme="minorHAnsi" w:cstheme="minorHAnsi"/>
      <w:b/>
      <w:color w:val="1F3864" w:themeColor="accent5" w:themeShade="80"/>
      <w:sz w:val="24"/>
      <w:szCs w:val="22"/>
    </w:rPr>
  </w:style>
  <w:style w:type="paragraph" w:styleId="Heading4">
    <w:name w:val="heading 4"/>
    <w:basedOn w:val="Normal"/>
    <w:next w:val="Normal"/>
    <w:link w:val="Heading4Char"/>
    <w:uiPriority w:val="9"/>
    <w:unhideWhenUsed/>
    <w:qFormat/>
    <w:rsid w:val="008B24A7"/>
    <w:pPr>
      <w:outlineLvl w:val="3"/>
    </w:pPr>
    <w:rPr>
      <w:rFonts w:asciiTheme="minorHAnsi" w:hAnsiTheme="minorHAnsi" w:cstheme="minorHAnsi"/>
      <w:b/>
      <w:color w:val="1F3864" w:themeColor="accent5" w:themeShade="80"/>
      <w:szCs w:val="22"/>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870FF0"/>
    <w:rPr>
      <w:rFonts w:ascii="Cambria" w:hAnsi="Cambria" w:cs="Times New Roman"/>
      <w:sz w:val="24"/>
      <w:szCs w:val="24"/>
    </w:rPr>
  </w:style>
  <w:style w:type="paragraph" w:styleId="Header">
    <w:name w:val="header"/>
    <w:basedOn w:val="Normal"/>
    <w:link w:val="HeaderChar"/>
    <w:uiPriority w:val="99"/>
    <w:rsid w:val="00870FF0"/>
    <w:pPr>
      <w:tabs>
        <w:tab w:val="center" w:pos="4513"/>
        <w:tab w:val="right" w:pos="9026"/>
      </w:tabs>
    </w:pPr>
  </w:style>
  <w:style w:type="character" w:customStyle="1" w:styleId="HeaderChar">
    <w:name w:val="Header Char"/>
    <w:basedOn w:val="DefaultParagraphFont"/>
    <w:link w:val="Header"/>
    <w:uiPriority w:val="99"/>
    <w:rsid w:val="00870FF0"/>
    <w:rPr>
      <w:rFonts w:ascii="Calibri" w:eastAsia="Calibri" w:hAnsi="Calibri" w:cs="Times New Roman"/>
      <w:szCs w:val="24"/>
    </w:rPr>
  </w:style>
  <w:style w:type="paragraph" w:styleId="Footer">
    <w:name w:val="footer"/>
    <w:basedOn w:val="Normal"/>
    <w:link w:val="FooterChar"/>
    <w:uiPriority w:val="99"/>
    <w:rsid w:val="0066058B"/>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66058B"/>
    <w:rPr>
      <w:rFonts w:ascii="Calibri" w:eastAsia="Calibri" w:hAnsi="Calibri" w:cs="Times New Roman"/>
      <w:i/>
      <w:sz w:val="18"/>
      <w:szCs w:val="24"/>
    </w:rPr>
  </w:style>
  <w:style w:type="character" w:styleId="CommentReference">
    <w:name w:val="annotation reference"/>
    <w:basedOn w:val="DefaultParagraphFont"/>
    <w:uiPriority w:val="99"/>
    <w:semiHidden/>
    <w:unhideWhenUsed/>
    <w:rsid w:val="00870FF0"/>
    <w:rPr>
      <w:sz w:val="16"/>
      <w:szCs w:val="16"/>
    </w:rPr>
  </w:style>
  <w:style w:type="paragraph" w:styleId="CommentText">
    <w:name w:val="annotation text"/>
    <w:basedOn w:val="Normal"/>
    <w:link w:val="CommentTextChar"/>
    <w:uiPriority w:val="99"/>
    <w:unhideWhenUsed/>
    <w:rsid w:val="00870FF0"/>
    <w:rPr>
      <w:sz w:val="20"/>
      <w:szCs w:val="20"/>
    </w:rPr>
  </w:style>
  <w:style w:type="character" w:customStyle="1" w:styleId="CommentTextChar">
    <w:name w:val="Comment Text Char"/>
    <w:basedOn w:val="DefaultParagraphFont"/>
    <w:link w:val="CommentText"/>
    <w:uiPriority w:val="99"/>
    <w:rsid w:val="00870FF0"/>
    <w:rPr>
      <w:rFonts w:ascii="Calibri" w:eastAsia="Calibri" w:hAnsi="Calibri" w:cs="Times New Roman"/>
      <w:sz w:val="20"/>
      <w:szCs w:val="20"/>
    </w:rPr>
  </w:style>
  <w:style w:type="character" w:styleId="Hyperlink">
    <w:name w:val="Hyperlink"/>
    <w:basedOn w:val="DefaultParagraphFont"/>
    <w:uiPriority w:val="99"/>
    <w:unhideWhenUsed/>
    <w:rsid w:val="00870FF0"/>
    <w:rPr>
      <w:color w:val="0563C1" w:themeColor="hyperlink"/>
      <w:u w:val="single"/>
    </w:rPr>
  </w:style>
  <w:style w:type="paragraph" w:styleId="ListParagraph">
    <w:name w:val="List Paragraph"/>
    <w:basedOn w:val="Normal"/>
    <w:link w:val="ListParagraphChar"/>
    <w:uiPriority w:val="34"/>
    <w:qFormat/>
    <w:rsid w:val="00473810"/>
    <w:pPr>
      <w:spacing w:after="120" w:line="276" w:lineRule="auto"/>
    </w:pPr>
  </w:style>
  <w:style w:type="paragraph" w:styleId="BalloonText">
    <w:name w:val="Balloon Text"/>
    <w:basedOn w:val="Normal"/>
    <w:link w:val="BalloonTextChar"/>
    <w:uiPriority w:val="99"/>
    <w:semiHidden/>
    <w:unhideWhenUsed/>
    <w:rsid w:val="00870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F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8502F"/>
    <w:rPr>
      <w:b/>
      <w:bCs/>
    </w:rPr>
  </w:style>
  <w:style w:type="character" w:customStyle="1" w:styleId="CommentSubjectChar">
    <w:name w:val="Comment Subject Char"/>
    <w:basedOn w:val="CommentTextChar"/>
    <w:link w:val="CommentSubject"/>
    <w:uiPriority w:val="99"/>
    <w:semiHidden/>
    <w:rsid w:val="0058502F"/>
    <w:rPr>
      <w:rFonts w:ascii="Calibri" w:eastAsia="Calibri" w:hAnsi="Calibri" w:cs="Times New Roman"/>
      <w:b/>
      <w:bCs/>
      <w:sz w:val="20"/>
      <w:szCs w:val="20"/>
    </w:rPr>
  </w:style>
  <w:style w:type="table" w:styleId="TableGrid">
    <w:name w:val="Table Grid"/>
    <w:basedOn w:val="TableNormal"/>
    <w:uiPriority w:val="39"/>
    <w:rsid w:val="008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0AB9"/>
    <w:rPr>
      <w:sz w:val="20"/>
      <w:szCs w:val="20"/>
    </w:rPr>
  </w:style>
  <w:style w:type="character" w:customStyle="1" w:styleId="FootnoteTextChar">
    <w:name w:val="Footnote Text Char"/>
    <w:basedOn w:val="DefaultParagraphFont"/>
    <w:link w:val="FootnoteText"/>
    <w:uiPriority w:val="99"/>
    <w:semiHidden/>
    <w:rsid w:val="00A60AB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0AB9"/>
    <w:rPr>
      <w:vertAlign w:val="superscript"/>
    </w:rPr>
  </w:style>
  <w:style w:type="paragraph" w:customStyle="1" w:styleId="MediumGrid21">
    <w:name w:val="Medium Grid 21"/>
    <w:semiHidden/>
    <w:qFormat/>
    <w:rsid w:val="00DD01A6"/>
    <w:rPr>
      <w:rFonts w:ascii="Cambria" w:eastAsia="Times New Roman" w:hAnsi="Cambria" w:cs="Times New Roman"/>
      <w:sz w:val="24"/>
      <w:szCs w:val="24"/>
    </w:rPr>
  </w:style>
  <w:style w:type="table" w:styleId="GridTable2-Accent5">
    <w:name w:val="Grid Table 2 Accent 5"/>
    <w:basedOn w:val="TableNormal"/>
    <w:uiPriority w:val="47"/>
    <w:rsid w:val="00DD01A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DD01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8B24A7"/>
    <w:rPr>
      <w:rFonts w:asciiTheme="minorHAnsi" w:eastAsia="Calibri" w:hAnsiTheme="minorHAnsi" w:cstheme="minorHAnsi"/>
      <w:b/>
      <w:color w:val="1F3864" w:themeColor="accent5" w:themeShade="80"/>
    </w:rPr>
  </w:style>
  <w:style w:type="table" w:customStyle="1" w:styleId="GridTable2-Accent51">
    <w:name w:val="Grid Table 2 - Accent 51"/>
    <w:basedOn w:val="TableNormal"/>
    <w:next w:val="GridTable2-Accent5"/>
    <w:uiPriority w:val="47"/>
    <w:rsid w:val="008B24A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8731F4"/>
    <w:rPr>
      <w:rFonts w:eastAsiaTheme="majorEastAsia"/>
      <w:color w:val="2F5496" w:themeColor="accent5" w:themeShade="BF"/>
      <w:sz w:val="28"/>
      <w:szCs w:val="26"/>
    </w:rPr>
  </w:style>
  <w:style w:type="character" w:customStyle="1" w:styleId="Heading3Char">
    <w:name w:val="Heading 3 Char"/>
    <w:basedOn w:val="DefaultParagraphFont"/>
    <w:link w:val="Heading3"/>
    <w:uiPriority w:val="9"/>
    <w:rsid w:val="008731F4"/>
    <w:rPr>
      <w:rFonts w:asciiTheme="minorHAnsi" w:hAnsiTheme="minorHAnsi" w:cstheme="minorHAnsi"/>
      <w:b/>
      <w:color w:val="1F3864" w:themeColor="accent5" w:themeShade="80"/>
      <w:sz w:val="24"/>
    </w:rPr>
  </w:style>
  <w:style w:type="character" w:customStyle="1" w:styleId="ListParagraphChar">
    <w:name w:val="List Paragraph Char"/>
    <w:basedOn w:val="DefaultParagraphFont"/>
    <w:link w:val="ListParagraph"/>
    <w:uiPriority w:val="34"/>
    <w:rsid w:val="00473810"/>
    <w:rPr>
      <w:rFonts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Heading1Char">
    <w:name w:val="Heading 1 Char"/>
    <w:basedOn w:val="DefaultParagraphFont"/>
    <w:link w:val="Heading1"/>
    <w:uiPriority w:val="9"/>
    <w:rsid w:val="00C84853"/>
    <w:rPr>
      <w:rFonts w:cs="Times New Roman"/>
      <w:b/>
      <w:sz w:val="48"/>
      <w:szCs w:val="48"/>
    </w:rPr>
  </w:style>
  <w:style w:type="table" w:styleId="GridTable1Light-Accent1">
    <w:name w:val="Grid Table 1 Light Accent 1"/>
    <w:basedOn w:val="TableNormal"/>
    <w:uiPriority w:val="46"/>
    <w:rsid w:val="0047381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473810"/>
    <w:pPr>
      <w:spacing w:before="120" w:after="0"/>
      <w:ind w:left="714" w:hanging="357"/>
    </w:pPr>
  </w:style>
  <w:style w:type="character" w:customStyle="1" w:styleId="BulletsChar">
    <w:name w:val="Bullets Char"/>
    <w:basedOn w:val="ListParagraphChar"/>
    <w:link w:val="Bullets"/>
    <w:rsid w:val="00473810"/>
    <w:rPr>
      <w:rFonts w:cs="Times New Roman"/>
      <w:szCs w:val="24"/>
    </w:rPr>
  </w:style>
  <w:style w:type="table" w:styleId="GridTable2-Accent1">
    <w:name w:val="Grid Table 2 Accent 1"/>
    <w:basedOn w:val="TableNormal"/>
    <w:uiPriority w:val="47"/>
    <w:rsid w:val="008731F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87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YWT/NoD6gYh6/hz+ybr7JdciQ==">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VC3-3 Visual Culture Placement ModDesc</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VC3-3 Visual Culture Placement ModDesc</dc:title>
  <dc:subject>VC3-3 Visual Culture Placement ModDesc</dc:subject>
  <dc:creator>Kilian O'Callaghan;David Crowley</dc:creator>
  <cp:keywords>2022;Module Descriptor;Visual Culture</cp:keywords>
  <cp:lastModifiedBy>Microsoft Office User</cp:lastModifiedBy>
  <cp:revision>3</cp:revision>
  <cp:lastPrinted>2022-10-25T22:17:00Z</cp:lastPrinted>
  <dcterms:created xsi:type="dcterms:W3CDTF">2023-10-15T12:46:00Z</dcterms:created>
  <dcterms:modified xsi:type="dcterms:W3CDTF">2023-10-15T12:47:00Z</dcterms:modified>
</cp:coreProperties>
</file>