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F187C" w14:textId="77777777" w:rsidR="00514BED" w:rsidRPr="00AA4FA6" w:rsidRDefault="002C624B" w:rsidP="00AA4FA6">
      <w:pPr>
        <w:pStyle w:val="Heading1"/>
      </w:pPr>
      <w:r w:rsidRPr="00AA4FA6">
        <w:t>Economies of Visual Culture</w:t>
      </w:r>
    </w:p>
    <w:p w14:paraId="5EBB22C3" w14:textId="77777777" w:rsidR="00514BED" w:rsidRPr="00AA4FA6" w:rsidRDefault="002C624B" w:rsidP="00AA4FA6">
      <w:pPr>
        <w:pStyle w:val="Heading1"/>
        <w:rPr>
          <w:sz w:val="32"/>
        </w:rPr>
      </w:pPr>
      <w:r w:rsidRPr="00AA4FA6">
        <w:rPr>
          <w:sz w:val="32"/>
        </w:rPr>
        <w:t>VC3-1</w:t>
      </w:r>
    </w:p>
    <w:p w14:paraId="4C318B40" w14:textId="77777777" w:rsidR="00514BED" w:rsidRPr="00AA4FA6" w:rsidRDefault="00514BED" w:rsidP="00AA4FA6"/>
    <w:p w14:paraId="23B7EC1F" w14:textId="77777777" w:rsidR="00514BED" w:rsidRPr="00AA4FA6" w:rsidRDefault="002C624B" w:rsidP="00AA4FA6">
      <w:pPr>
        <w:pStyle w:val="Heading1"/>
      </w:pPr>
      <w:r w:rsidRPr="00AA4FA6">
        <w:t>MODULE DESCRIPTOR</w:t>
      </w:r>
    </w:p>
    <w:p w14:paraId="61EA1AE1" w14:textId="77777777" w:rsidR="00514BED" w:rsidRPr="00AA4FA6" w:rsidRDefault="00514BED" w:rsidP="00AA4FA6"/>
    <w:tbl>
      <w:tblPr>
        <w:tblStyle w:val="a"/>
        <w:tblW w:w="9026" w:type="dxa"/>
        <w:tblBorders>
          <w:top w:val="single" w:sz="4" w:space="0" w:color="9CC3E5"/>
          <w:bottom w:val="single" w:sz="4" w:space="0" w:color="9CC3E5"/>
          <w:insideH w:val="single" w:sz="4" w:space="0" w:color="9CC3E5"/>
          <w:insideV w:val="single" w:sz="4" w:space="0" w:color="9CC3E5"/>
        </w:tblBorders>
        <w:tblLayout w:type="fixed"/>
        <w:tblLook w:val="0200" w:firstRow="0" w:lastRow="0" w:firstColumn="0" w:lastColumn="0" w:noHBand="1" w:noVBand="0"/>
      </w:tblPr>
      <w:tblGrid>
        <w:gridCol w:w="1496"/>
        <w:gridCol w:w="985"/>
        <w:gridCol w:w="2363"/>
        <w:gridCol w:w="4182"/>
      </w:tblGrid>
      <w:tr w:rsidR="00514BED" w:rsidRPr="00AA4FA6" w14:paraId="1EC9CC33" w14:textId="77777777" w:rsidTr="00AA4FA6">
        <w:trPr>
          <w:trHeight w:val="340"/>
        </w:trPr>
        <w:tc>
          <w:tcPr>
            <w:cnfStyle w:val="000010000000" w:firstRow="0" w:lastRow="0" w:firstColumn="0" w:lastColumn="0" w:oddVBand="1" w:evenVBand="0" w:oddHBand="0" w:evenHBand="0" w:firstRowFirstColumn="0" w:firstRowLastColumn="0" w:lastRowFirstColumn="0" w:lastRowLastColumn="0"/>
            <w:tcW w:w="1496" w:type="dxa"/>
          </w:tcPr>
          <w:p w14:paraId="6D161DBA" w14:textId="3E93A5F6" w:rsidR="00514BED" w:rsidRPr="00AA4FA6" w:rsidRDefault="002C624B">
            <w:pPr>
              <w:pStyle w:val="Heading4"/>
              <w:outlineLvl w:val="3"/>
            </w:pPr>
            <w:r w:rsidRPr="00AA4FA6">
              <w:rPr>
                <w:rFonts w:eastAsia="Calibri"/>
              </w:rPr>
              <w:t>ECTS credits</w:t>
            </w:r>
          </w:p>
        </w:tc>
        <w:tc>
          <w:tcPr>
            <w:tcW w:w="985" w:type="dxa"/>
          </w:tcPr>
          <w:p w14:paraId="047F494F" w14:textId="77777777" w:rsidR="00514BED" w:rsidRPr="00AA4FA6" w:rsidRDefault="002C624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AA4FA6">
              <w:rPr>
                <w:rFonts w:ascii="Calibri" w:hAnsi="Calibri" w:cs="Calibri"/>
                <w:color w:val="000000"/>
                <w:szCs w:val="20"/>
              </w:rPr>
              <w:t>10</w:t>
            </w:r>
          </w:p>
        </w:tc>
        <w:tc>
          <w:tcPr>
            <w:cnfStyle w:val="000010000000" w:firstRow="0" w:lastRow="0" w:firstColumn="0" w:lastColumn="0" w:oddVBand="1" w:evenVBand="0" w:oddHBand="0" w:evenHBand="0" w:firstRowFirstColumn="0" w:firstRowLastColumn="0" w:lastRowFirstColumn="0" w:lastRowLastColumn="0"/>
            <w:tcW w:w="2363" w:type="dxa"/>
          </w:tcPr>
          <w:p w14:paraId="222BFBFF" w14:textId="77777777" w:rsidR="00514BED" w:rsidRPr="00AA4FA6" w:rsidRDefault="002C624B">
            <w:pPr>
              <w:pStyle w:val="Heading4"/>
              <w:outlineLvl w:val="3"/>
            </w:pPr>
            <w:r w:rsidRPr="00AA4FA6">
              <w:rPr>
                <w:rFonts w:eastAsia="Calibri"/>
              </w:rPr>
              <w:t>Programme</w:t>
            </w:r>
          </w:p>
        </w:tc>
        <w:tc>
          <w:tcPr>
            <w:tcW w:w="4182" w:type="dxa"/>
          </w:tcPr>
          <w:p w14:paraId="0C6F2421" w14:textId="77777777" w:rsidR="00514BED" w:rsidRPr="00AA4FA6" w:rsidRDefault="002C624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AA4FA6">
              <w:rPr>
                <w:rFonts w:ascii="Calibri" w:hAnsi="Calibri" w:cs="Calibri"/>
                <w:color w:val="000000"/>
                <w:szCs w:val="20"/>
              </w:rPr>
              <w:t>BA (Hons) Visual Culture</w:t>
            </w:r>
          </w:p>
        </w:tc>
      </w:tr>
      <w:tr w:rsidR="00514BED" w:rsidRPr="00AA4FA6" w14:paraId="7C0F62C8" w14:textId="77777777" w:rsidTr="00AA4FA6">
        <w:trPr>
          <w:trHeight w:val="340"/>
        </w:trPr>
        <w:tc>
          <w:tcPr>
            <w:cnfStyle w:val="000010000000" w:firstRow="0" w:lastRow="0" w:firstColumn="0" w:lastColumn="0" w:oddVBand="1" w:evenVBand="0" w:oddHBand="0" w:evenHBand="0" w:firstRowFirstColumn="0" w:firstRowLastColumn="0" w:lastRowFirstColumn="0" w:lastRowLastColumn="0"/>
            <w:tcW w:w="1496" w:type="dxa"/>
          </w:tcPr>
          <w:p w14:paraId="3EAB7B92" w14:textId="77777777" w:rsidR="00514BED" w:rsidRPr="00AA4FA6" w:rsidRDefault="002C624B">
            <w:pPr>
              <w:pStyle w:val="Heading4"/>
              <w:outlineLvl w:val="3"/>
            </w:pPr>
            <w:r w:rsidRPr="00AA4FA6">
              <w:rPr>
                <w:rFonts w:eastAsia="Calibri"/>
              </w:rPr>
              <w:t>NQF level</w:t>
            </w:r>
          </w:p>
        </w:tc>
        <w:tc>
          <w:tcPr>
            <w:tcW w:w="985" w:type="dxa"/>
          </w:tcPr>
          <w:p w14:paraId="53B06EF9" w14:textId="77777777" w:rsidR="00514BED" w:rsidRPr="00AA4FA6" w:rsidRDefault="002C624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AA4FA6">
              <w:rPr>
                <w:rFonts w:ascii="Calibri" w:hAnsi="Calibri" w:cs="Calibri"/>
                <w:color w:val="000000"/>
                <w:szCs w:val="20"/>
              </w:rPr>
              <w:t>8</w:t>
            </w:r>
          </w:p>
        </w:tc>
        <w:tc>
          <w:tcPr>
            <w:cnfStyle w:val="000010000000" w:firstRow="0" w:lastRow="0" w:firstColumn="0" w:lastColumn="0" w:oddVBand="1" w:evenVBand="0" w:oddHBand="0" w:evenHBand="0" w:firstRowFirstColumn="0" w:firstRowLastColumn="0" w:lastRowFirstColumn="0" w:lastRowLastColumn="0"/>
            <w:tcW w:w="2363" w:type="dxa"/>
          </w:tcPr>
          <w:p w14:paraId="329E259E" w14:textId="77777777" w:rsidR="00514BED" w:rsidRPr="00AA4FA6" w:rsidRDefault="002C624B">
            <w:pPr>
              <w:pStyle w:val="Heading4"/>
              <w:outlineLvl w:val="3"/>
            </w:pPr>
            <w:r w:rsidRPr="00AA4FA6">
              <w:rPr>
                <w:rFonts w:eastAsia="Calibri"/>
              </w:rPr>
              <w:t>School</w:t>
            </w:r>
          </w:p>
        </w:tc>
        <w:tc>
          <w:tcPr>
            <w:tcW w:w="4182" w:type="dxa"/>
          </w:tcPr>
          <w:p w14:paraId="7815EC19" w14:textId="77777777" w:rsidR="00514BED" w:rsidRPr="00AA4FA6" w:rsidRDefault="002C624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AA4FA6">
              <w:rPr>
                <w:rFonts w:ascii="Calibri" w:hAnsi="Calibri" w:cs="Calibri"/>
                <w:color w:val="000000"/>
                <w:szCs w:val="20"/>
              </w:rPr>
              <w:t>School of Visual Culture</w:t>
            </w:r>
          </w:p>
        </w:tc>
      </w:tr>
      <w:tr w:rsidR="00514BED" w:rsidRPr="00AA4FA6" w14:paraId="61CBF746" w14:textId="77777777" w:rsidTr="00AA4FA6">
        <w:trPr>
          <w:trHeight w:val="340"/>
        </w:trPr>
        <w:tc>
          <w:tcPr>
            <w:cnfStyle w:val="000010000000" w:firstRow="0" w:lastRow="0" w:firstColumn="0" w:lastColumn="0" w:oddVBand="1" w:evenVBand="0" w:oddHBand="0" w:evenHBand="0" w:firstRowFirstColumn="0" w:firstRowLastColumn="0" w:lastRowFirstColumn="0" w:lastRowLastColumn="0"/>
            <w:tcW w:w="1496" w:type="dxa"/>
          </w:tcPr>
          <w:p w14:paraId="754D7B7A" w14:textId="77777777" w:rsidR="00514BED" w:rsidRPr="00AA4FA6" w:rsidRDefault="002C624B">
            <w:pPr>
              <w:pStyle w:val="Heading4"/>
              <w:outlineLvl w:val="3"/>
            </w:pPr>
            <w:r w:rsidRPr="00AA4FA6">
              <w:rPr>
                <w:rFonts w:eastAsia="Calibri"/>
              </w:rPr>
              <w:t>Stage</w:t>
            </w:r>
          </w:p>
        </w:tc>
        <w:tc>
          <w:tcPr>
            <w:tcW w:w="985" w:type="dxa"/>
          </w:tcPr>
          <w:p w14:paraId="3886FC05" w14:textId="77777777" w:rsidR="00514BED" w:rsidRPr="00AA4FA6" w:rsidRDefault="002C624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AA4FA6">
              <w:rPr>
                <w:rFonts w:ascii="Calibri" w:hAnsi="Calibri" w:cs="Calibri"/>
                <w:color w:val="000000"/>
                <w:szCs w:val="20"/>
              </w:rPr>
              <w:t>3</w:t>
            </w:r>
          </w:p>
        </w:tc>
        <w:tc>
          <w:tcPr>
            <w:cnfStyle w:val="000010000000" w:firstRow="0" w:lastRow="0" w:firstColumn="0" w:lastColumn="0" w:oddVBand="1" w:evenVBand="0" w:oddHBand="0" w:evenHBand="0" w:firstRowFirstColumn="0" w:firstRowLastColumn="0" w:lastRowFirstColumn="0" w:lastRowLastColumn="0"/>
            <w:tcW w:w="2363" w:type="dxa"/>
          </w:tcPr>
          <w:p w14:paraId="2D7F19AB" w14:textId="77777777" w:rsidR="00514BED" w:rsidRPr="00AA4FA6" w:rsidRDefault="002C624B">
            <w:pPr>
              <w:pStyle w:val="Heading4"/>
              <w:outlineLvl w:val="3"/>
            </w:pPr>
            <w:r w:rsidRPr="00AA4FA6">
              <w:rPr>
                <w:rFonts w:eastAsia="Calibri"/>
              </w:rPr>
              <w:t>Module Co-ordinator</w:t>
            </w:r>
          </w:p>
        </w:tc>
        <w:tc>
          <w:tcPr>
            <w:tcW w:w="4182" w:type="dxa"/>
          </w:tcPr>
          <w:p w14:paraId="00088466" w14:textId="528F3EA7" w:rsidR="00514BED" w:rsidRPr="00AA4FA6" w:rsidRDefault="00F955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Pr>
                <w:rFonts w:ascii="Calibri" w:hAnsi="Calibri" w:cs="Calibri"/>
                <w:szCs w:val="20"/>
              </w:rPr>
              <w:t>Dr Rachel O Dwyer</w:t>
            </w:r>
          </w:p>
        </w:tc>
      </w:tr>
      <w:tr w:rsidR="00514BED" w:rsidRPr="00AA4FA6" w14:paraId="7C720D64" w14:textId="77777777" w:rsidTr="00AA4FA6">
        <w:trPr>
          <w:trHeight w:val="340"/>
        </w:trPr>
        <w:tc>
          <w:tcPr>
            <w:cnfStyle w:val="000010000000" w:firstRow="0" w:lastRow="0" w:firstColumn="0" w:lastColumn="0" w:oddVBand="1" w:evenVBand="0" w:oddHBand="0" w:evenHBand="0" w:firstRowFirstColumn="0" w:firstRowLastColumn="0" w:lastRowFirstColumn="0" w:lastRowLastColumn="0"/>
            <w:tcW w:w="1496" w:type="dxa"/>
          </w:tcPr>
          <w:p w14:paraId="68DA1770" w14:textId="77777777" w:rsidR="00514BED" w:rsidRPr="00AA4FA6" w:rsidRDefault="002C624B">
            <w:pPr>
              <w:pStyle w:val="Heading4"/>
              <w:outlineLvl w:val="3"/>
            </w:pPr>
            <w:r w:rsidRPr="00AA4FA6">
              <w:rPr>
                <w:rFonts w:eastAsia="Calibri"/>
              </w:rPr>
              <w:t>Trimester</w:t>
            </w:r>
          </w:p>
        </w:tc>
        <w:tc>
          <w:tcPr>
            <w:tcW w:w="985" w:type="dxa"/>
          </w:tcPr>
          <w:p w14:paraId="11C21774" w14:textId="77777777" w:rsidR="00514BED" w:rsidRPr="00AA4FA6" w:rsidRDefault="002C624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AA4FA6">
              <w:rPr>
                <w:rFonts w:ascii="Calibri" w:hAnsi="Calibri" w:cs="Calibri"/>
                <w:color w:val="000000"/>
                <w:szCs w:val="20"/>
              </w:rPr>
              <w:t>1</w:t>
            </w:r>
          </w:p>
        </w:tc>
        <w:tc>
          <w:tcPr>
            <w:cnfStyle w:val="000010000000" w:firstRow="0" w:lastRow="0" w:firstColumn="0" w:lastColumn="0" w:oddVBand="1" w:evenVBand="0" w:oddHBand="0" w:evenHBand="0" w:firstRowFirstColumn="0" w:firstRowLastColumn="0" w:lastRowFirstColumn="0" w:lastRowLastColumn="0"/>
            <w:tcW w:w="2363" w:type="dxa"/>
          </w:tcPr>
          <w:p w14:paraId="5E0A88F7" w14:textId="77777777" w:rsidR="00514BED" w:rsidRPr="00AA4FA6" w:rsidRDefault="002C624B">
            <w:pPr>
              <w:pStyle w:val="Heading4"/>
              <w:outlineLvl w:val="3"/>
            </w:pPr>
            <w:r w:rsidRPr="00AA4FA6">
              <w:rPr>
                <w:rFonts w:eastAsia="Calibri"/>
              </w:rPr>
              <w:t>Module Team</w:t>
            </w:r>
          </w:p>
        </w:tc>
        <w:tc>
          <w:tcPr>
            <w:tcW w:w="4182" w:type="dxa"/>
          </w:tcPr>
          <w:p w14:paraId="5535650A" w14:textId="532C15AC" w:rsidR="00514BED" w:rsidRPr="00AA4FA6" w:rsidRDefault="00F955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Pr>
                <w:rFonts w:ascii="Calibri" w:hAnsi="Calibri" w:cs="Calibri"/>
                <w:color w:val="000000"/>
                <w:szCs w:val="20"/>
              </w:rPr>
              <w:t xml:space="preserve">Dr </w:t>
            </w:r>
            <w:r w:rsidR="002C624B" w:rsidRPr="00AA4FA6">
              <w:rPr>
                <w:rFonts w:ascii="Calibri" w:hAnsi="Calibri" w:cs="Calibri"/>
                <w:color w:val="000000"/>
                <w:szCs w:val="20"/>
              </w:rPr>
              <w:t xml:space="preserve">Rachel O’Dwyer, </w:t>
            </w:r>
            <w:r>
              <w:rPr>
                <w:rFonts w:ascii="Calibri" w:hAnsi="Calibri" w:cs="Calibri"/>
                <w:color w:val="000000"/>
                <w:szCs w:val="20"/>
              </w:rPr>
              <w:t xml:space="preserve">Dr </w:t>
            </w:r>
            <w:r w:rsidR="002C624B" w:rsidRPr="00AA4FA6">
              <w:rPr>
                <w:rFonts w:ascii="Calibri" w:hAnsi="Calibri" w:cs="Calibri"/>
                <w:color w:val="000000"/>
                <w:szCs w:val="20"/>
              </w:rPr>
              <w:t xml:space="preserve"> Francis Halsall, </w:t>
            </w:r>
            <w:r>
              <w:rPr>
                <w:rFonts w:ascii="Calibri" w:hAnsi="Calibri" w:cs="Calibri"/>
                <w:color w:val="000000"/>
                <w:szCs w:val="20"/>
              </w:rPr>
              <w:t xml:space="preserve">Dr </w:t>
            </w:r>
            <w:r w:rsidR="002C624B" w:rsidRPr="00AA4FA6">
              <w:rPr>
                <w:rFonts w:ascii="Calibri" w:hAnsi="Calibri" w:cs="Calibri"/>
                <w:color w:val="000000"/>
                <w:szCs w:val="20"/>
              </w:rPr>
              <w:t xml:space="preserve">Emma Mahony, </w:t>
            </w:r>
            <w:r>
              <w:rPr>
                <w:rFonts w:ascii="Calibri" w:hAnsi="Calibri" w:cs="Calibri"/>
                <w:color w:val="000000"/>
                <w:szCs w:val="20"/>
              </w:rPr>
              <w:t xml:space="preserve">Dr </w:t>
            </w:r>
            <w:r w:rsidR="002C624B" w:rsidRPr="00AA4FA6">
              <w:rPr>
                <w:rFonts w:ascii="Calibri" w:hAnsi="Calibri" w:cs="Calibri"/>
                <w:color w:val="000000"/>
                <w:szCs w:val="20"/>
              </w:rPr>
              <w:t>Hilary O’Kelly</w:t>
            </w:r>
          </w:p>
        </w:tc>
      </w:tr>
      <w:tr w:rsidR="00514BED" w:rsidRPr="00AA4FA6" w14:paraId="2AF40FBE" w14:textId="77777777" w:rsidTr="00AA4FA6">
        <w:trPr>
          <w:trHeight w:val="340"/>
        </w:trPr>
        <w:tc>
          <w:tcPr>
            <w:cnfStyle w:val="000010000000" w:firstRow="0" w:lastRow="0" w:firstColumn="0" w:lastColumn="0" w:oddVBand="1" w:evenVBand="0" w:oddHBand="0" w:evenHBand="0" w:firstRowFirstColumn="0" w:firstRowLastColumn="0" w:lastRowFirstColumn="0" w:lastRowLastColumn="0"/>
            <w:tcW w:w="1496" w:type="dxa"/>
          </w:tcPr>
          <w:p w14:paraId="3E78B096" w14:textId="77777777" w:rsidR="00514BED" w:rsidRPr="00AA4FA6" w:rsidRDefault="002C624B">
            <w:pPr>
              <w:pStyle w:val="Heading4"/>
              <w:outlineLvl w:val="3"/>
            </w:pPr>
            <w:r w:rsidRPr="00AA4FA6">
              <w:rPr>
                <w:rFonts w:eastAsia="Calibri"/>
              </w:rPr>
              <w:t>Contact</w:t>
            </w:r>
          </w:p>
        </w:tc>
        <w:tc>
          <w:tcPr>
            <w:tcW w:w="7530" w:type="dxa"/>
            <w:gridSpan w:val="3"/>
          </w:tcPr>
          <w:p w14:paraId="371B3CB0" w14:textId="77777777" w:rsidR="00514BED" w:rsidRPr="00AA4FA6" w:rsidRDefault="002C624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AA4FA6">
              <w:rPr>
                <w:rFonts w:ascii="Calibri" w:hAnsi="Calibri" w:cs="Calibri"/>
                <w:color w:val="000000"/>
                <w:szCs w:val="20"/>
              </w:rPr>
              <w:t>Neasa Travers, Secretary School of Visual Culture: visualculture@staff.ncad.ie</w:t>
            </w:r>
          </w:p>
        </w:tc>
      </w:tr>
      <w:tr w:rsidR="00514BED" w:rsidRPr="00AA4FA6" w14:paraId="1F1F7B9B" w14:textId="77777777" w:rsidTr="00AA4FA6">
        <w:trPr>
          <w:trHeight w:val="340"/>
        </w:trPr>
        <w:tc>
          <w:tcPr>
            <w:cnfStyle w:val="000010000000" w:firstRow="0" w:lastRow="0" w:firstColumn="0" w:lastColumn="0" w:oddVBand="1" w:evenVBand="0" w:oddHBand="0" w:evenHBand="0" w:firstRowFirstColumn="0" w:firstRowLastColumn="0" w:lastRowFirstColumn="0" w:lastRowLastColumn="0"/>
            <w:tcW w:w="1496" w:type="dxa"/>
          </w:tcPr>
          <w:p w14:paraId="700CC3C3" w14:textId="77777777" w:rsidR="00514BED" w:rsidRPr="00AA4FA6" w:rsidRDefault="002C624B">
            <w:pPr>
              <w:pStyle w:val="Heading4"/>
              <w:outlineLvl w:val="3"/>
            </w:pPr>
            <w:r w:rsidRPr="00AA4FA6">
              <w:rPr>
                <w:rFonts w:eastAsia="Calibri"/>
              </w:rPr>
              <w:t>Responsibility</w:t>
            </w:r>
          </w:p>
        </w:tc>
        <w:tc>
          <w:tcPr>
            <w:tcW w:w="7530" w:type="dxa"/>
            <w:gridSpan w:val="3"/>
          </w:tcPr>
          <w:p w14:paraId="34BF0494" w14:textId="03153179" w:rsidR="00514BED" w:rsidRPr="00AA4FA6" w:rsidRDefault="00AA4FA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Pr>
                <w:rFonts w:ascii="Calibri" w:hAnsi="Calibri" w:cs="Calibri"/>
                <w:color w:val="000000"/>
                <w:szCs w:val="20"/>
              </w:rPr>
              <w:t xml:space="preserve">The </w:t>
            </w:r>
            <w:r w:rsidR="002C624B" w:rsidRPr="00AA4FA6">
              <w:rPr>
                <w:rFonts w:ascii="Calibri" w:hAnsi="Calibri" w:cs="Calibri"/>
                <w:color w:val="000000"/>
                <w:szCs w:val="20"/>
              </w:rPr>
              <w:t xml:space="preserve">NCAD Academic Council </w:t>
            </w:r>
            <w:r>
              <w:rPr>
                <w:rFonts w:ascii="Calibri" w:hAnsi="Calibri" w:cs="Calibri"/>
                <w:color w:val="000000"/>
                <w:szCs w:val="20"/>
              </w:rPr>
              <w:t xml:space="preserve">and the </w:t>
            </w:r>
            <w:r w:rsidR="002C624B" w:rsidRPr="00AA4FA6">
              <w:rPr>
                <w:rFonts w:ascii="Calibri" w:hAnsi="Calibri" w:cs="Calibri"/>
                <w:color w:val="000000"/>
                <w:szCs w:val="20"/>
              </w:rPr>
              <w:t>School of Visual Culture</w:t>
            </w:r>
            <w:r>
              <w:rPr>
                <w:rFonts w:ascii="Calibri" w:hAnsi="Calibri" w:cs="Calibri"/>
                <w:color w:val="000000"/>
                <w:szCs w:val="20"/>
              </w:rPr>
              <w:t xml:space="preserve"> Board have responsibility for this module.</w:t>
            </w:r>
          </w:p>
        </w:tc>
      </w:tr>
    </w:tbl>
    <w:p w14:paraId="15D5BAFC" w14:textId="77777777" w:rsidR="00514BED" w:rsidRPr="00AA4FA6" w:rsidRDefault="00514BED">
      <w:pPr>
        <w:pBdr>
          <w:top w:val="nil"/>
          <w:left w:val="nil"/>
          <w:bottom w:val="nil"/>
          <w:right w:val="nil"/>
          <w:between w:val="nil"/>
        </w:pBdr>
        <w:rPr>
          <w:rFonts w:eastAsia="Arial" w:cs="Calibri"/>
          <w:color w:val="000000"/>
          <w:sz w:val="20"/>
          <w:szCs w:val="20"/>
        </w:rPr>
      </w:pPr>
    </w:p>
    <w:p w14:paraId="4CA8971E" w14:textId="77777777" w:rsidR="00AA4FA6" w:rsidRPr="00AA4FA6" w:rsidRDefault="00AA4FA6" w:rsidP="00AA4FA6">
      <w:pPr>
        <w:pStyle w:val="Heading2"/>
      </w:pPr>
      <w:r w:rsidRPr="00AA4FA6">
        <w:t>Introduction</w:t>
      </w:r>
    </w:p>
    <w:p w14:paraId="7ABA3A7A" w14:textId="3F9DF23C" w:rsidR="00AA4FA6" w:rsidRPr="00AA4FA6" w:rsidRDefault="00AA4FA6" w:rsidP="00AA4FA6">
      <w:pPr>
        <w:pStyle w:val="ListParagraph"/>
      </w:pPr>
      <w:r w:rsidRPr="00AA4FA6">
        <w:t xml:space="preserve">The study of Visual Culture is located at the interface of objects, images, materials, technology, society, politics and economies. </w:t>
      </w:r>
      <w:r>
        <w:t xml:space="preserve"> </w:t>
      </w:r>
      <w:r w:rsidRPr="00AA4FA6">
        <w:t xml:space="preserve">While other modules prioritise, for example, the study of technological or social histories, this module focuses on the economic dimensions of Visual Culture. It aims to explore the ways in which economic factors impact, and are impacted on, by Visual Culture. </w:t>
      </w:r>
      <w:r>
        <w:t xml:space="preserve"> </w:t>
      </w:r>
      <w:r w:rsidRPr="00AA4FA6">
        <w:t xml:space="preserve">Although not presented as a formal training in the principles and techniques of the discipline of economics, this module will provide insights into the way in which </w:t>
      </w:r>
      <w:r w:rsidR="00813010">
        <w:rPr>
          <w:rFonts w:ascii="Helvetica" w:hAnsi="Helvetica" w:cs="Helvetica"/>
          <w:color w:val="000000"/>
          <w:sz w:val="27"/>
          <w:szCs w:val="27"/>
          <w:lang w:val="en-US"/>
        </w:rPr>
        <w:t>government and economic policy – including the effects of neoliberalism and globalisation and forms of resistance to it, such as commoning practices –</w:t>
      </w:r>
      <w:r>
        <w:t xml:space="preserve"> </w:t>
      </w:r>
      <w:r w:rsidRPr="00AA4FA6">
        <w:t>shape the production, dissemination and consumption of art and design.</w:t>
      </w:r>
    </w:p>
    <w:p w14:paraId="39FDEF6E" w14:textId="3B16DB48" w:rsidR="00AA4FA6" w:rsidRPr="00AA4FA6" w:rsidRDefault="00AA4FA6" w:rsidP="00AA4FA6">
      <w:pPr>
        <w:pStyle w:val="ListParagraph"/>
      </w:pPr>
      <w:r w:rsidRPr="00AA4FA6">
        <w:t xml:space="preserve">Economic and cultural imperatives can be seen as two of the most significant forces shaping human behaviour. </w:t>
      </w:r>
      <w:r>
        <w:t xml:space="preserve"> </w:t>
      </w:r>
      <w:r w:rsidRPr="00AA4FA6">
        <w:t>The Economies of Visual Culture module presents an opportunity to consider the dynamic relationship between them as they act upon intellectual discourses, systems of societal organisation, and individual behaviour.</w:t>
      </w:r>
      <w:r>
        <w:t xml:space="preserve"> </w:t>
      </w:r>
      <w:r w:rsidRPr="00AA4FA6">
        <w:t xml:space="preserve"> Historic and contemporary case studies offered for analysis in the seminars will allow for claims about the new centrality and prominence of the culture industries and the knowledge economy in Ireland and elsewhere today to be tested. </w:t>
      </w:r>
    </w:p>
    <w:p w14:paraId="1FD54E36" w14:textId="77777777" w:rsidR="00AA4FA6" w:rsidRPr="00AA4FA6" w:rsidRDefault="00AA4FA6" w:rsidP="00AA4FA6">
      <w:pPr>
        <w:pStyle w:val="ListParagraph"/>
      </w:pPr>
      <w:r w:rsidRPr="00AA4FA6">
        <w:t>The aims of this module are to:</w:t>
      </w:r>
    </w:p>
    <w:p w14:paraId="55262C8E" w14:textId="77777777" w:rsidR="00AA4FA6" w:rsidRPr="00AA4FA6" w:rsidRDefault="00AA4FA6" w:rsidP="00AA4FA6">
      <w:pPr>
        <w:pStyle w:val="Numbers"/>
        <w:numPr>
          <w:ilvl w:val="0"/>
          <w:numId w:val="3"/>
        </w:numPr>
        <w:ind w:left="714" w:hanging="357"/>
      </w:pPr>
      <w:r w:rsidRPr="00AA4FA6">
        <w:t>Survey, using paradigmatic examples, the history of the changing relationships between practices of the production of visual culture and their markets;</w:t>
      </w:r>
    </w:p>
    <w:p w14:paraId="37A35E01" w14:textId="4D6F39EC" w:rsidR="00AA4FA6" w:rsidRPr="00AA4FA6" w:rsidRDefault="00AA4FA6" w:rsidP="00AA4FA6">
      <w:pPr>
        <w:pStyle w:val="Numbers"/>
        <w:numPr>
          <w:ilvl w:val="0"/>
          <w:numId w:val="3"/>
        </w:numPr>
        <w:ind w:left="714" w:hanging="357"/>
      </w:pPr>
      <w:r w:rsidRPr="00AA4FA6">
        <w:t>Explore and compare the relationships between economies, markets</w:t>
      </w:r>
      <w:r w:rsidR="00813010">
        <w:t>, cultural policies</w:t>
      </w:r>
      <w:r w:rsidRPr="00AA4FA6">
        <w:t xml:space="preserve"> and audiences in different areas of art and design;</w:t>
      </w:r>
    </w:p>
    <w:p w14:paraId="683089FD" w14:textId="3793AEBD" w:rsidR="00AA4FA6" w:rsidRPr="00AA4FA6" w:rsidRDefault="00AA4FA6" w:rsidP="00AA4FA6">
      <w:pPr>
        <w:pStyle w:val="Numbers"/>
        <w:numPr>
          <w:ilvl w:val="0"/>
          <w:numId w:val="3"/>
        </w:numPr>
        <w:ind w:left="714" w:hanging="357"/>
      </w:pPr>
      <w:r w:rsidRPr="00AA4FA6">
        <w:t>Discuss practices in art, design and visual culture in the context of their audiences and markets.</w:t>
      </w:r>
    </w:p>
    <w:p w14:paraId="292A9018" w14:textId="77777777" w:rsidR="00AA4FA6" w:rsidRPr="00AA4FA6" w:rsidRDefault="00AA4FA6" w:rsidP="00AA4FA6">
      <w:pPr>
        <w:pStyle w:val="Heading2"/>
        <w:rPr>
          <w:rFonts w:eastAsia="Calibri"/>
        </w:rPr>
      </w:pPr>
      <w:r w:rsidRPr="00AA4FA6">
        <w:lastRenderedPageBreak/>
        <w:t>What will I learn?</w:t>
      </w:r>
    </w:p>
    <w:p w14:paraId="0D6434EA" w14:textId="77777777" w:rsidR="00AA4FA6" w:rsidRPr="00AA4FA6" w:rsidRDefault="00AA4FA6">
      <w:pPr>
        <w:keepNext/>
        <w:pBdr>
          <w:top w:val="nil"/>
          <w:left w:val="nil"/>
          <w:bottom w:val="nil"/>
          <w:right w:val="nil"/>
          <w:between w:val="nil"/>
        </w:pBdr>
        <w:rPr>
          <w:rFonts w:cs="Calibri"/>
          <w:color w:val="000000"/>
          <w:szCs w:val="20"/>
        </w:rPr>
      </w:pPr>
      <w:r w:rsidRPr="00AA4FA6">
        <w:rPr>
          <w:rFonts w:cs="Calibri"/>
          <w:color w:val="000000"/>
          <w:szCs w:val="20"/>
        </w:rPr>
        <w:t>On successful completion of this module students will be able to:</w:t>
      </w:r>
    </w:p>
    <w:p w14:paraId="584E9B38" w14:textId="77777777" w:rsidR="00AA4FA6" w:rsidRPr="00AA4FA6" w:rsidRDefault="00AA4FA6" w:rsidP="00AA4FA6">
      <w:pPr>
        <w:pStyle w:val="Numbers"/>
        <w:numPr>
          <w:ilvl w:val="0"/>
          <w:numId w:val="1"/>
        </w:numPr>
        <w:ind w:left="714" w:hanging="357"/>
      </w:pPr>
      <w:r w:rsidRPr="00AA4FA6">
        <w:t xml:space="preserve">RESEARCH the impact of economics on particular fields of visual culture and, conversely, the ways in which economic practices are themselves influenced by visual culture.  </w:t>
      </w:r>
    </w:p>
    <w:p w14:paraId="5AA5A59C" w14:textId="77777777" w:rsidR="00AA4FA6" w:rsidRPr="00AA4FA6" w:rsidRDefault="00AA4FA6" w:rsidP="00AA4FA6">
      <w:pPr>
        <w:pStyle w:val="Numbers"/>
        <w:numPr>
          <w:ilvl w:val="0"/>
          <w:numId w:val="1"/>
        </w:numPr>
        <w:ind w:left="714" w:hanging="357"/>
      </w:pPr>
      <w:r w:rsidRPr="00AA4FA6">
        <w:t>ANALYSE the relationships between economies, markets and audiences.</w:t>
      </w:r>
    </w:p>
    <w:p w14:paraId="1FCF2B97" w14:textId="77777777" w:rsidR="00AA4FA6" w:rsidRPr="00AA4FA6" w:rsidRDefault="00AA4FA6" w:rsidP="00AA4FA6">
      <w:pPr>
        <w:pStyle w:val="Numbers"/>
        <w:numPr>
          <w:ilvl w:val="0"/>
          <w:numId w:val="1"/>
        </w:numPr>
        <w:ind w:left="714" w:hanging="357"/>
      </w:pPr>
      <w:r w:rsidRPr="00AA4FA6">
        <w:t>COMMUNICATE his or her ideas about the economies of visual culture in ways which demonstrate confidence and sophistication.</w:t>
      </w:r>
    </w:p>
    <w:p w14:paraId="36A0D79F" w14:textId="77777777" w:rsidR="00AA4FA6" w:rsidRPr="00AA4FA6" w:rsidRDefault="00AA4FA6" w:rsidP="00AA4FA6">
      <w:pPr>
        <w:pStyle w:val="Heading3"/>
      </w:pPr>
      <w:r w:rsidRPr="00AA4FA6">
        <w:t>Module content</w:t>
      </w:r>
    </w:p>
    <w:p w14:paraId="537CBD5C" w14:textId="77777777" w:rsidR="00AA4FA6" w:rsidRPr="006C2B2A" w:rsidRDefault="00AA4FA6" w:rsidP="00AA4FA6">
      <w:pPr>
        <w:pStyle w:val="ListParagraph"/>
        <w:rPr>
          <w:rFonts w:cs="Calibri"/>
        </w:rPr>
      </w:pPr>
      <w:r w:rsidRPr="006C2B2A">
        <w:rPr>
          <w:rFonts w:cs="Calibri"/>
        </w:rPr>
        <w:t>An indicative selection of seminars subjects includes:</w:t>
      </w:r>
    </w:p>
    <w:p w14:paraId="7DB00847" w14:textId="77777777" w:rsidR="00374592" w:rsidRPr="006C2B2A" w:rsidRDefault="00374592" w:rsidP="00374592">
      <w:pPr>
        <w:pStyle w:val="ListParagraph"/>
        <w:numPr>
          <w:ilvl w:val="0"/>
          <w:numId w:val="6"/>
        </w:numPr>
        <w:rPr>
          <w:rFonts w:cs="Calibri"/>
          <w:color w:val="000000" w:themeColor="text1"/>
        </w:rPr>
      </w:pPr>
      <w:r w:rsidRPr="006C2B2A">
        <w:rPr>
          <w:rFonts w:cs="Calibri"/>
          <w:color w:val="000000" w:themeColor="text1"/>
          <w:lang w:val="en-US"/>
        </w:rPr>
        <w:t xml:space="preserve">Precarious Labour and the Creative Worker </w:t>
      </w:r>
    </w:p>
    <w:p w14:paraId="653A8BEB" w14:textId="77777777" w:rsidR="00374592" w:rsidRPr="006C2B2A" w:rsidRDefault="00374592" w:rsidP="00374592">
      <w:pPr>
        <w:pStyle w:val="ListParagraph"/>
        <w:numPr>
          <w:ilvl w:val="0"/>
          <w:numId w:val="6"/>
        </w:numPr>
        <w:rPr>
          <w:rFonts w:cs="Calibri"/>
          <w:color w:val="000000" w:themeColor="text1"/>
        </w:rPr>
      </w:pPr>
      <w:r w:rsidRPr="006C2B2A">
        <w:rPr>
          <w:rFonts w:cs="Calibri"/>
          <w:color w:val="000000" w:themeColor="text1"/>
        </w:rPr>
        <w:t xml:space="preserve">The Effect of Corporate Funding on the Arts </w:t>
      </w:r>
    </w:p>
    <w:p w14:paraId="1216A797" w14:textId="77777777" w:rsidR="00374592" w:rsidRPr="006C2B2A" w:rsidRDefault="00374592" w:rsidP="00374592">
      <w:pPr>
        <w:pStyle w:val="ListParagraph"/>
        <w:numPr>
          <w:ilvl w:val="0"/>
          <w:numId w:val="6"/>
        </w:numPr>
        <w:rPr>
          <w:rFonts w:cs="Calibri"/>
          <w:color w:val="000000" w:themeColor="text1"/>
          <w:lang w:val="en-US"/>
        </w:rPr>
      </w:pPr>
      <w:r w:rsidRPr="006C2B2A">
        <w:rPr>
          <w:rFonts w:cs="Calibri"/>
          <w:color w:val="000000" w:themeColor="text1"/>
        </w:rPr>
        <w:t xml:space="preserve">The Neoliberal Museum </w:t>
      </w:r>
    </w:p>
    <w:p w14:paraId="0A2810F1" w14:textId="77777777" w:rsidR="00374592" w:rsidRPr="006C2B2A" w:rsidRDefault="00374592" w:rsidP="00374592">
      <w:pPr>
        <w:pStyle w:val="ListParagraph"/>
        <w:numPr>
          <w:ilvl w:val="0"/>
          <w:numId w:val="6"/>
        </w:numPr>
        <w:rPr>
          <w:rFonts w:cs="Calibri"/>
          <w:color w:val="000000" w:themeColor="text1"/>
        </w:rPr>
      </w:pPr>
      <w:r w:rsidRPr="006C2B2A">
        <w:rPr>
          <w:rFonts w:cs="Calibri"/>
          <w:color w:val="000000" w:themeColor="text1"/>
        </w:rPr>
        <w:t xml:space="preserve">The Neoliberal Turn in European Cultural Policy </w:t>
      </w:r>
    </w:p>
    <w:p w14:paraId="3E1EB329" w14:textId="77777777" w:rsidR="00374592" w:rsidRPr="006C2B2A" w:rsidRDefault="00374592" w:rsidP="00374592">
      <w:pPr>
        <w:pStyle w:val="ListParagraph"/>
        <w:numPr>
          <w:ilvl w:val="0"/>
          <w:numId w:val="6"/>
        </w:numPr>
        <w:jc w:val="both"/>
        <w:rPr>
          <w:rFonts w:cs="Calibri"/>
          <w:color w:val="000000" w:themeColor="text1"/>
        </w:rPr>
      </w:pPr>
      <w:r w:rsidRPr="006C2B2A">
        <w:rPr>
          <w:rFonts w:cs="Calibri"/>
          <w:color w:val="000000" w:themeColor="text1"/>
        </w:rPr>
        <w:t xml:space="preserve">Art Institutions of the Common: Producing Social Wealth </w:t>
      </w:r>
    </w:p>
    <w:p w14:paraId="3ACBFBEB" w14:textId="77777777" w:rsidR="00374592" w:rsidRPr="006C2B2A" w:rsidRDefault="00374592" w:rsidP="00374592">
      <w:pPr>
        <w:pStyle w:val="ListParagraph"/>
        <w:numPr>
          <w:ilvl w:val="0"/>
          <w:numId w:val="6"/>
        </w:numPr>
        <w:shd w:val="clear" w:color="auto" w:fill="FFFFFF"/>
        <w:rPr>
          <w:rFonts w:cs="Calibri"/>
          <w:color w:val="000000" w:themeColor="text1"/>
        </w:rPr>
      </w:pPr>
      <w:r w:rsidRPr="006C2B2A">
        <w:rPr>
          <w:rFonts w:cs="Calibri"/>
          <w:color w:val="000000" w:themeColor="text1"/>
        </w:rPr>
        <w:t>The Sharing Economy</w:t>
      </w:r>
    </w:p>
    <w:p w14:paraId="3E8C3FE9" w14:textId="77777777" w:rsidR="00374592" w:rsidRPr="006C2B2A" w:rsidRDefault="00374592" w:rsidP="00374592">
      <w:pPr>
        <w:pStyle w:val="ListParagraph"/>
        <w:numPr>
          <w:ilvl w:val="0"/>
          <w:numId w:val="6"/>
        </w:numPr>
        <w:shd w:val="clear" w:color="auto" w:fill="FFFFFF"/>
        <w:rPr>
          <w:rFonts w:cs="Calibri"/>
          <w:color w:val="000000" w:themeColor="text1"/>
        </w:rPr>
      </w:pPr>
      <w:r w:rsidRPr="006C2B2A">
        <w:rPr>
          <w:rFonts w:cs="Calibri"/>
          <w:color w:val="000000" w:themeColor="text1"/>
        </w:rPr>
        <w:t xml:space="preserve">Containerisation and the Age of the World System </w:t>
      </w:r>
    </w:p>
    <w:p w14:paraId="257CA9CF" w14:textId="77777777" w:rsidR="00374592" w:rsidRPr="006C2B2A" w:rsidRDefault="00374592" w:rsidP="00374592">
      <w:pPr>
        <w:pStyle w:val="ListParagraph"/>
        <w:numPr>
          <w:ilvl w:val="0"/>
          <w:numId w:val="6"/>
        </w:numPr>
        <w:shd w:val="clear" w:color="auto" w:fill="FFFFFF"/>
        <w:rPr>
          <w:rFonts w:cs="Calibri"/>
          <w:color w:val="000000" w:themeColor="text1"/>
        </w:rPr>
      </w:pPr>
      <w:r w:rsidRPr="006C2B2A">
        <w:rPr>
          <w:rFonts w:cs="Calibri"/>
          <w:color w:val="000000" w:themeColor="text1"/>
        </w:rPr>
        <w:t>Architecture as Index: Case studies of the architecture of late Capitalism</w:t>
      </w:r>
    </w:p>
    <w:p w14:paraId="3A8B2DB6" w14:textId="77777777" w:rsidR="00374592" w:rsidRPr="006C2B2A" w:rsidRDefault="00374592" w:rsidP="00374592">
      <w:pPr>
        <w:pStyle w:val="ListParagraph"/>
        <w:numPr>
          <w:ilvl w:val="0"/>
          <w:numId w:val="6"/>
        </w:numPr>
        <w:rPr>
          <w:rFonts w:cs="Calibri"/>
          <w:color w:val="000000" w:themeColor="text1"/>
        </w:rPr>
      </w:pPr>
      <w:r w:rsidRPr="006C2B2A">
        <w:rPr>
          <w:rFonts w:cs="Calibri"/>
          <w:color w:val="000000" w:themeColor="text1"/>
        </w:rPr>
        <w:t>Non-Fungible Tokens (NFTs): Value, originality and autonomy</w:t>
      </w:r>
    </w:p>
    <w:p w14:paraId="08656BD9" w14:textId="77777777" w:rsidR="00374592" w:rsidRPr="006C2B2A" w:rsidRDefault="00374592" w:rsidP="00374592">
      <w:pPr>
        <w:pStyle w:val="ListParagraph"/>
        <w:numPr>
          <w:ilvl w:val="0"/>
          <w:numId w:val="6"/>
        </w:numPr>
        <w:rPr>
          <w:rFonts w:cs="Calibri"/>
          <w:color w:val="000000" w:themeColor="text1"/>
        </w:rPr>
      </w:pPr>
      <w:r w:rsidRPr="006C2B2A">
        <w:rPr>
          <w:rFonts w:cs="Calibri"/>
          <w:color w:val="000000" w:themeColor="text1"/>
        </w:rPr>
        <w:t>Fashion, Knit, Economy and Culture in the 20</w:t>
      </w:r>
      <w:r w:rsidRPr="006C2B2A">
        <w:rPr>
          <w:rFonts w:cs="Calibri"/>
          <w:color w:val="000000" w:themeColor="text1"/>
          <w:vertAlign w:val="superscript"/>
        </w:rPr>
        <w:t>th</w:t>
      </w:r>
      <w:r w:rsidRPr="006C2B2A">
        <w:rPr>
          <w:rFonts w:cs="Calibri"/>
          <w:color w:val="000000" w:themeColor="text1"/>
        </w:rPr>
        <w:t xml:space="preserve"> and 21</w:t>
      </w:r>
      <w:r w:rsidRPr="006C2B2A">
        <w:rPr>
          <w:rFonts w:cs="Calibri"/>
          <w:color w:val="000000" w:themeColor="text1"/>
          <w:vertAlign w:val="superscript"/>
        </w:rPr>
        <w:t>st</w:t>
      </w:r>
      <w:r w:rsidRPr="006C2B2A">
        <w:rPr>
          <w:rFonts w:cs="Calibri"/>
          <w:color w:val="000000" w:themeColor="text1"/>
        </w:rPr>
        <w:t xml:space="preserve"> Century in Ireland</w:t>
      </w:r>
    </w:p>
    <w:p w14:paraId="54E1A2B9" w14:textId="77777777" w:rsidR="00AA4FA6" w:rsidRPr="006C2B2A" w:rsidRDefault="00AA4FA6" w:rsidP="00AA4FA6">
      <w:pPr>
        <w:pStyle w:val="Heading2"/>
        <w:rPr>
          <w:rFonts w:ascii="Calibri" w:eastAsia="Calibri" w:hAnsi="Calibri" w:cs="Calibri"/>
          <w:u w:val="single"/>
        </w:rPr>
      </w:pPr>
      <w:r w:rsidRPr="006C2B2A">
        <w:rPr>
          <w:rFonts w:ascii="Calibri" w:hAnsi="Calibri" w:cs="Calibri"/>
        </w:rPr>
        <w:t>How will I learn?</w:t>
      </w:r>
    </w:p>
    <w:p w14:paraId="6F2C6B8C" w14:textId="77777777" w:rsidR="00AA4FA6" w:rsidRPr="008A4180" w:rsidRDefault="00AA4FA6" w:rsidP="008A4180">
      <w:pPr>
        <w:pStyle w:val="ListParagraph"/>
      </w:pPr>
      <w:r w:rsidRPr="008A4180">
        <w:t xml:space="preserve">Learning will take the form of weekly seminars, in preparation for which students will be required to read primary and secondary texts in advance. As a seminar, each class will take the form of tutor-led discussion of selected case studies across a range of fields from the C18th to the present. </w:t>
      </w:r>
    </w:p>
    <w:tbl>
      <w:tblPr>
        <w:tblStyle w:val="GridTable2-Accent1"/>
        <w:tblW w:w="4962" w:type="dxa"/>
        <w:tblLayout w:type="fixed"/>
        <w:tblLook w:val="0660" w:firstRow="1" w:lastRow="1" w:firstColumn="0" w:lastColumn="0" w:noHBand="1" w:noVBand="1"/>
      </w:tblPr>
      <w:tblGrid>
        <w:gridCol w:w="3686"/>
        <w:gridCol w:w="1276"/>
      </w:tblGrid>
      <w:tr w:rsidR="00514BED" w:rsidRPr="008A4180" w14:paraId="37EED006" w14:textId="77777777" w:rsidTr="008A4180">
        <w:trPr>
          <w:cnfStyle w:val="100000000000" w:firstRow="1" w:lastRow="0" w:firstColumn="0" w:lastColumn="0" w:oddVBand="0" w:evenVBand="0" w:oddHBand="0" w:evenHBand="0" w:firstRowFirstColumn="0" w:firstRowLastColumn="0" w:lastRowFirstColumn="0" w:lastRowLastColumn="0"/>
          <w:trHeight w:val="340"/>
        </w:trPr>
        <w:tc>
          <w:tcPr>
            <w:tcW w:w="3686" w:type="dxa"/>
          </w:tcPr>
          <w:p w14:paraId="28D6C244" w14:textId="77777777" w:rsidR="00514BED" w:rsidRPr="008A4180" w:rsidRDefault="002C624B" w:rsidP="008A4180">
            <w:pPr>
              <w:rPr>
                <w:rFonts w:cs="Calibri"/>
                <w:color w:val="000000"/>
                <w:szCs w:val="20"/>
              </w:rPr>
            </w:pPr>
            <w:r w:rsidRPr="008A4180">
              <w:rPr>
                <w:rFonts w:cs="Calibri"/>
                <w:color w:val="000000"/>
                <w:szCs w:val="20"/>
              </w:rPr>
              <w:t>Learning tool</w:t>
            </w:r>
          </w:p>
        </w:tc>
        <w:tc>
          <w:tcPr>
            <w:tcW w:w="1276" w:type="dxa"/>
          </w:tcPr>
          <w:p w14:paraId="51E777E1" w14:textId="77777777" w:rsidR="00514BED" w:rsidRPr="008A4180" w:rsidRDefault="002C624B" w:rsidP="008A4180">
            <w:pPr>
              <w:pBdr>
                <w:top w:val="nil"/>
                <w:left w:val="nil"/>
                <w:bottom w:val="nil"/>
                <w:right w:val="nil"/>
                <w:between w:val="nil"/>
              </w:pBdr>
              <w:rPr>
                <w:rFonts w:cs="Calibri"/>
                <w:color w:val="000000"/>
                <w:szCs w:val="20"/>
              </w:rPr>
            </w:pPr>
            <w:r w:rsidRPr="008A4180">
              <w:rPr>
                <w:rFonts w:cs="Calibri"/>
                <w:color w:val="000000"/>
                <w:szCs w:val="20"/>
              </w:rPr>
              <w:t>Hours</w:t>
            </w:r>
          </w:p>
        </w:tc>
      </w:tr>
      <w:tr w:rsidR="00514BED" w:rsidRPr="008A4180" w14:paraId="235D43D2" w14:textId="77777777" w:rsidTr="008A4180">
        <w:trPr>
          <w:trHeight w:val="340"/>
        </w:trPr>
        <w:tc>
          <w:tcPr>
            <w:tcW w:w="3686" w:type="dxa"/>
          </w:tcPr>
          <w:p w14:paraId="5FAF557D" w14:textId="77777777" w:rsidR="00514BED" w:rsidRPr="008A4180" w:rsidRDefault="002C624B" w:rsidP="008A4180">
            <w:pPr>
              <w:rPr>
                <w:rFonts w:cs="Calibri"/>
                <w:color w:val="000000"/>
                <w:szCs w:val="20"/>
              </w:rPr>
            </w:pPr>
            <w:r w:rsidRPr="008A4180">
              <w:rPr>
                <w:rFonts w:cs="Calibri"/>
                <w:szCs w:val="20"/>
              </w:rPr>
              <w:t xml:space="preserve">Lectures / </w:t>
            </w:r>
            <w:r w:rsidRPr="008A4180">
              <w:rPr>
                <w:rFonts w:cs="Calibri"/>
                <w:color w:val="000000"/>
                <w:szCs w:val="20"/>
              </w:rPr>
              <w:t>Seminars</w:t>
            </w:r>
          </w:p>
        </w:tc>
        <w:tc>
          <w:tcPr>
            <w:tcW w:w="1276" w:type="dxa"/>
          </w:tcPr>
          <w:p w14:paraId="646F780C" w14:textId="462A3BF5" w:rsidR="00514BED" w:rsidRPr="008A4180" w:rsidRDefault="00CE31B3" w:rsidP="008A4180">
            <w:pPr>
              <w:rPr>
                <w:rFonts w:cs="Calibri"/>
                <w:color w:val="000000"/>
                <w:szCs w:val="20"/>
              </w:rPr>
            </w:pPr>
            <w:r>
              <w:rPr>
                <w:rFonts w:cs="Calibri"/>
                <w:color w:val="000000"/>
                <w:szCs w:val="20"/>
              </w:rPr>
              <w:t>3</w:t>
            </w:r>
            <w:r w:rsidR="002C624B" w:rsidRPr="008A4180">
              <w:rPr>
                <w:rFonts w:cs="Calibri"/>
                <w:szCs w:val="20"/>
              </w:rPr>
              <w:t>0</w:t>
            </w:r>
          </w:p>
        </w:tc>
      </w:tr>
      <w:tr w:rsidR="00514BED" w:rsidRPr="008A4180" w14:paraId="7EFBC9CD" w14:textId="77777777" w:rsidTr="008A4180">
        <w:trPr>
          <w:trHeight w:val="340"/>
        </w:trPr>
        <w:tc>
          <w:tcPr>
            <w:tcW w:w="3686" w:type="dxa"/>
          </w:tcPr>
          <w:p w14:paraId="4BFF9280" w14:textId="77777777" w:rsidR="00514BED" w:rsidRPr="008A4180" w:rsidRDefault="002C624B" w:rsidP="008A4180">
            <w:pPr>
              <w:rPr>
                <w:rFonts w:cs="Calibri"/>
                <w:color w:val="000000"/>
                <w:szCs w:val="20"/>
              </w:rPr>
            </w:pPr>
            <w:r w:rsidRPr="008A4180">
              <w:rPr>
                <w:rFonts w:cs="Calibri"/>
                <w:color w:val="000000"/>
                <w:szCs w:val="20"/>
              </w:rPr>
              <w:t>Specified Learning Activities</w:t>
            </w:r>
          </w:p>
        </w:tc>
        <w:tc>
          <w:tcPr>
            <w:tcW w:w="1276" w:type="dxa"/>
          </w:tcPr>
          <w:p w14:paraId="26A40FB8" w14:textId="2079BC53" w:rsidR="00514BED" w:rsidRPr="008A4180" w:rsidRDefault="00CE31B3" w:rsidP="008A4180">
            <w:pPr>
              <w:rPr>
                <w:rFonts w:cs="Calibri"/>
                <w:color w:val="000000"/>
                <w:szCs w:val="20"/>
              </w:rPr>
            </w:pPr>
            <w:r>
              <w:rPr>
                <w:rFonts w:cs="Calibri"/>
                <w:color w:val="000000"/>
                <w:szCs w:val="20"/>
              </w:rPr>
              <w:t>3</w:t>
            </w:r>
            <w:r w:rsidR="002C624B" w:rsidRPr="008A4180">
              <w:rPr>
                <w:rFonts w:cs="Calibri"/>
                <w:szCs w:val="20"/>
              </w:rPr>
              <w:t>0</w:t>
            </w:r>
          </w:p>
        </w:tc>
      </w:tr>
      <w:tr w:rsidR="00514BED" w:rsidRPr="008A4180" w14:paraId="6610968D" w14:textId="77777777" w:rsidTr="008A4180">
        <w:trPr>
          <w:trHeight w:val="340"/>
        </w:trPr>
        <w:tc>
          <w:tcPr>
            <w:tcW w:w="3686" w:type="dxa"/>
          </w:tcPr>
          <w:p w14:paraId="1C79B403" w14:textId="77777777" w:rsidR="00514BED" w:rsidRPr="008A4180" w:rsidRDefault="002C624B" w:rsidP="008A4180">
            <w:pPr>
              <w:rPr>
                <w:rFonts w:cs="Calibri"/>
                <w:color w:val="000000"/>
                <w:szCs w:val="20"/>
              </w:rPr>
            </w:pPr>
            <w:r w:rsidRPr="008A4180">
              <w:rPr>
                <w:rFonts w:cs="Calibri"/>
                <w:color w:val="000000"/>
                <w:szCs w:val="20"/>
              </w:rPr>
              <w:t xml:space="preserve">Autonomous Student Learning </w:t>
            </w:r>
          </w:p>
        </w:tc>
        <w:tc>
          <w:tcPr>
            <w:tcW w:w="1276" w:type="dxa"/>
          </w:tcPr>
          <w:p w14:paraId="03FB985B" w14:textId="77777777" w:rsidR="00514BED" w:rsidRPr="008A4180" w:rsidRDefault="002C624B" w:rsidP="008A4180">
            <w:pPr>
              <w:rPr>
                <w:rFonts w:cs="Calibri"/>
                <w:color w:val="000000"/>
                <w:szCs w:val="20"/>
              </w:rPr>
            </w:pPr>
            <w:r w:rsidRPr="008A4180">
              <w:rPr>
                <w:rFonts w:cs="Calibri"/>
                <w:color w:val="000000"/>
                <w:szCs w:val="20"/>
              </w:rPr>
              <w:t>1</w:t>
            </w:r>
            <w:r w:rsidRPr="008A4180">
              <w:rPr>
                <w:rFonts w:cs="Calibri"/>
                <w:szCs w:val="20"/>
              </w:rPr>
              <w:t>40</w:t>
            </w:r>
          </w:p>
        </w:tc>
      </w:tr>
      <w:tr w:rsidR="00514BED" w:rsidRPr="008A4180" w14:paraId="0BAB91FA" w14:textId="77777777" w:rsidTr="008A4180">
        <w:trPr>
          <w:cnfStyle w:val="010000000000" w:firstRow="0" w:lastRow="1" w:firstColumn="0" w:lastColumn="0" w:oddVBand="0" w:evenVBand="0" w:oddHBand="0" w:evenHBand="0" w:firstRowFirstColumn="0" w:firstRowLastColumn="0" w:lastRowFirstColumn="0" w:lastRowLastColumn="0"/>
          <w:trHeight w:val="340"/>
        </w:trPr>
        <w:tc>
          <w:tcPr>
            <w:tcW w:w="3686" w:type="dxa"/>
          </w:tcPr>
          <w:p w14:paraId="256C819B" w14:textId="77777777" w:rsidR="00514BED" w:rsidRPr="008A4180" w:rsidRDefault="002C624B" w:rsidP="008A4180">
            <w:pPr>
              <w:rPr>
                <w:rFonts w:cs="Calibri"/>
                <w:color w:val="000000"/>
                <w:szCs w:val="20"/>
              </w:rPr>
            </w:pPr>
            <w:r w:rsidRPr="008A4180">
              <w:rPr>
                <w:rFonts w:cs="Calibri"/>
                <w:color w:val="000000"/>
                <w:szCs w:val="20"/>
              </w:rPr>
              <w:t>Total Workload</w:t>
            </w:r>
          </w:p>
        </w:tc>
        <w:tc>
          <w:tcPr>
            <w:tcW w:w="1276" w:type="dxa"/>
          </w:tcPr>
          <w:p w14:paraId="4EB4DDBE" w14:textId="77777777" w:rsidR="00514BED" w:rsidRPr="008A4180" w:rsidRDefault="002C624B" w:rsidP="008A4180">
            <w:pPr>
              <w:rPr>
                <w:rFonts w:cs="Calibri"/>
                <w:color w:val="000000"/>
                <w:szCs w:val="20"/>
              </w:rPr>
            </w:pPr>
            <w:r w:rsidRPr="008A4180">
              <w:rPr>
                <w:rFonts w:cs="Calibri"/>
                <w:color w:val="000000"/>
                <w:szCs w:val="20"/>
              </w:rPr>
              <w:t>200</w:t>
            </w:r>
          </w:p>
        </w:tc>
      </w:tr>
    </w:tbl>
    <w:p w14:paraId="500BD007" w14:textId="77777777" w:rsidR="00514BED" w:rsidRPr="00AA4FA6" w:rsidRDefault="00514BED">
      <w:pPr>
        <w:pBdr>
          <w:top w:val="nil"/>
          <w:left w:val="nil"/>
          <w:bottom w:val="nil"/>
          <w:right w:val="nil"/>
          <w:between w:val="nil"/>
        </w:pBdr>
        <w:rPr>
          <w:rFonts w:eastAsia="Arial" w:cs="Calibri"/>
          <w:color w:val="000000"/>
          <w:sz w:val="20"/>
          <w:szCs w:val="20"/>
        </w:rPr>
      </w:pPr>
    </w:p>
    <w:p w14:paraId="436801C5" w14:textId="77777777" w:rsidR="008A4180" w:rsidRPr="00AA4FA6" w:rsidRDefault="008A4180" w:rsidP="00AA4FA6">
      <w:pPr>
        <w:pStyle w:val="Heading2"/>
      </w:pPr>
      <w:r w:rsidRPr="00AA4FA6">
        <w:t>What learning supports are provided?</w:t>
      </w:r>
    </w:p>
    <w:p w14:paraId="0818B8E3" w14:textId="77777777" w:rsidR="008A4180" w:rsidRPr="00AA4FA6" w:rsidRDefault="008A4180" w:rsidP="008A4180">
      <w:pPr>
        <w:pStyle w:val="ListParagraph"/>
      </w:pPr>
      <w:r w:rsidRPr="00AA4FA6">
        <w:t xml:space="preserve">Students will be provided with key readings and a module descriptor which includes background sources. </w:t>
      </w:r>
    </w:p>
    <w:p w14:paraId="37799988" w14:textId="77777777" w:rsidR="008A4180" w:rsidRPr="00AA4FA6" w:rsidRDefault="008A4180" w:rsidP="008A4180">
      <w:pPr>
        <w:pStyle w:val="Heading3"/>
      </w:pPr>
      <w:r w:rsidRPr="00AA4FA6">
        <w:lastRenderedPageBreak/>
        <w:t>Indicative Bibliography</w:t>
      </w:r>
    </w:p>
    <w:p w14:paraId="4F03D1AB" w14:textId="77777777" w:rsidR="008A4180" w:rsidRPr="008A4180" w:rsidRDefault="008A4180" w:rsidP="008A4180">
      <w:pPr>
        <w:pStyle w:val="Bullets"/>
        <w:spacing w:before="60"/>
      </w:pPr>
      <w:r w:rsidRPr="008A4180">
        <w:t>Entwistle, J (2009) The Aesthetic Economy of Fashion, markets and values in clothing and modelling, Oxford, Berg</w:t>
      </w:r>
    </w:p>
    <w:p w14:paraId="608F701A" w14:textId="77777777" w:rsidR="008A4180" w:rsidRPr="008A4180" w:rsidRDefault="008A4180" w:rsidP="008A4180">
      <w:pPr>
        <w:pStyle w:val="Bullets"/>
        <w:spacing w:before="60"/>
      </w:pPr>
      <w:r w:rsidRPr="008A4180">
        <w:t>Du Gay, Paul ed., (2001) Cultural Economy, London, Sage</w:t>
      </w:r>
    </w:p>
    <w:p w14:paraId="79CC6D42" w14:textId="77777777" w:rsidR="008A4180" w:rsidRPr="008A4180" w:rsidRDefault="008A4180" w:rsidP="008A4180">
      <w:pPr>
        <w:pStyle w:val="Bullets"/>
        <w:spacing w:before="60"/>
      </w:pPr>
      <w:r w:rsidRPr="008A4180">
        <w:t>Hardt, M. (2010), ‘The Common in Communism’, in C. Douzinas and S. Žižek (eds.), The Idea of Communism. London/New York: Verso, pp. 131-44.</w:t>
      </w:r>
    </w:p>
    <w:p w14:paraId="328878AF" w14:textId="77777777" w:rsidR="008A4180" w:rsidRPr="008A4180" w:rsidRDefault="008A4180" w:rsidP="008A4180">
      <w:pPr>
        <w:pStyle w:val="Bullets"/>
        <w:spacing w:before="60"/>
      </w:pPr>
      <w:r w:rsidRPr="008A4180">
        <w:t>Foster, S. (1997) ‘Buying Irish: Consumer Nationalism in Eighteenth-Century Dublin’ History Today, Volume 47, 44-51.</w:t>
      </w:r>
    </w:p>
    <w:p w14:paraId="388AA738" w14:textId="77777777" w:rsidR="008A4180" w:rsidRPr="008A4180" w:rsidRDefault="008A4180" w:rsidP="008A4180">
      <w:pPr>
        <w:pStyle w:val="Bullets"/>
        <w:spacing w:before="60"/>
      </w:pPr>
      <w:r w:rsidRPr="008A4180">
        <w:t>Young, Hilary (ed.) (1995) The Genius of Wedgwood, London, V&amp;A.</w:t>
      </w:r>
    </w:p>
    <w:p w14:paraId="1A8C14C2" w14:textId="77777777" w:rsidR="008A4180" w:rsidRPr="00AA4FA6" w:rsidRDefault="008A4180" w:rsidP="00AA4FA6">
      <w:pPr>
        <w:pStyle w:val="Heading2"/>
        <w:rPr>
          <w:rFonts w:eastAsia="Arial"/>
        </w:rPr>
      </w:pPr>
      <w:bookmarkStart w:id="0" w:name="_heading=h.gjdgxs" w:colFirst="0" w:colLast="0"/>
      <w:bookmarkEnd w:id="0"/>
      <w:r w:rsidRPr="00AA4FA6">
        <w:rPr>
          <w:rFonts w:eastAsia="Arial"/>
        </w:rPr>
        <w:t>Am I eligible to take this module?</w:t>
      </w:r>
    </w:p>
    <w:p w14:paraId="5F7A97D9" w14:textId="77777777" w:rsidR="008A4180" w:rsidRPr="00AA4FA6" w:rsidRDefault="008A4180" w:rsidP="00AA4FA6">
      <w:pPr>
        <w:pStyle w:val="Heading3"/>
      </w:pPr>
      <w:r w:rsidRPr="00AA4FA6">
        <w:t>Module Requisites and Incompatibles</w:t>
      </w:r>
    </w:p>
    <w:tbl>
      <w:tblPr>
        <w:tblStyle w:val="GridTable2-Accent1"/>
        <w:tblW w:w="9016" w:type="dxa"/>
        <w:tblLayout w:type="fixed"/>
        <w:tblLook w:val="0680" w:firstRow="0" w:lastRow="0" w:firstColumn="1" w:lastColumn="0" w:noHBand="1" w:noVBand="1"/>
      </w:tblPr>
      <w:tblGrid>
        <w:gridCol w:w="1721"/>
        <w:gridCol w:w="7295"/>
      </w:tblGrid>
      <w:tr w:rsidR="00514BED" w:rsidRPr="008A4180" w14:paraId="23E0DAEC" w14:textId="77777777" w:rsidTr="008A4180">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25B59184" w14:textId="77777777" w:rsidR="00514BED" w:rsidRPr="008A4180" w:rsidRDefault="002C624B" w:rsidP="008A4180">
            <w:pPr>
              <w:pStyle w:val="Heading4"/>
              <w:spacing w:line="21" w:lineRule="atLeast"/>
              <w:outlineLvl w:val="3"/>
              <w:rPr>
                <w:rFonts w:ascii="Calibri" w:eastAsia="Arial" w:hAnsi="Calibri" w:cs="Calibri"/>
                <w:color w:val="000000"/>
                <w:szCs w:val="20"/>
              </w:rPr>
            </w:pPr>
            <w:r w:rsidRPr="008A4180">
              <w:rPr>
                <w:rFonts w:ascii="Calibri" w:eastAsia="Arial" w:hAnsi="Calibri" w:cs="Calibri"/>
                <w:color w:val="000000"/>
                <w:szCs w:val="20"/>
              </w:rPr>
              <w:t>Pre-requisites</w:t>
            </w:r>
          </w:p>
        </w:tc>
        <w:tc>
          <w:tcPr>
            <w:tcW w:w="7295" w:type="dxa"/>
          </w:tcPr>
          <w:p w14:paraId="419C4A72" w14:textId="77777777" w:rsidR="00514BED" w:rsidRPr="008A4180" w:rsidRDefault="002C624B" w:rsidP="008A4180">
            <w:pPr>
              <w:pBdr>
                <w:top w:val="nil"/>
                <w:left w:val="nil"/>
                <w:bottom w:val="nil"/>
                <w:right w:val="nil"/>
                <w:between w:val="nil"/>
              </w:pBdr>
              <w:spacing w:line="21" w:lineRule="atLeast"/>
              <w:cnfStyle w:val="000000000000" w:firstRow="0" w:lastRow="0" w:firstColumn="0" w:lastColumn="0" w:oddVBand="0" w:evenVBand="0" w:oddHBand="0" w:evenHBand="0" w:firstRowFirstColumn="0" w:firstRowLastColumn="0" w:lastRowFirstColumn="0" w:lastRowLastColumn="0"/>
              <w:rPr>
                <w:rFonts w:eastAsia="Arial" w:cs="Calibri"/>
                <w:color w:val="000000"/>
                <w:szCs w:val="20"/>
              </w:rPr>
            </w:pPr>
            <w:r w:rsidRPr="008A4180">
              <w:rPr>
                <w:rFonts w:eastAsia="Arial" w:cs="Calibri"/>
                <w:color w:val="000000"/>
                <w:szCs w:val="20"/>
              </w:rPr>
              <w:t>None</w:t>
            </w:r>
          </w:p>
        </w:tc>
      </w:tr>
      <w:tr w:rsidR="00514BED" w:rsidRPr="008A4180" w14:paraId="5B138406" w14:textId="77777777" w:rsidTr="008A4180">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043B4B9B" w14:textId="77777777" w:rsidR="00514BED" w:rsidRPr="008A4180" w:rsidRDefault="002C624B" w:rsidP="008A4180">
            <w:pPr>
              <w:pStyle w:val="Heading4"/>
              <w:spacing w:line="21" w:lineRule="atLeast"/>
              <w:outlineLvl w:val="3"/>
              <w:rPr>
                <w:rFonts w:ascii="Calibri" w:eastAsia="Arial" w:hAnsi="Calibri" w:cs="Calibri"/>
                <w:color w:val="000000"/>
                <w:szCs w:val="20"/>
              </w:rPr>
            </w:pPr>
            <w:r w:rsidRPr="008A4180">
              <w:rPr>
                <w:rFonts w:ascii="Calibri" w:eastAsia="Arial" w:hAnsi="Calibri" w:cs="Calibri"/>
                <w:color w:val="000000"/>
                <w:szCs w:val="20"/>
              </w:rPr>
              <w:t>Co-requisites</w:t>
            </w:r>
          </w:p>
        </w:tc>
        <w:tc>
          <w:tcPr>
            <w:tcW w:w="7295" w:type="dxa"/>
          </w:tcPr>
          <w:p w14:paraId="71D031CD" w14:textId="77777777" w:rsidR="00514BED" w:rsidRPr="008A4180" w:rsidRDefault="002C624B" w:rsidP="008A4180">
            <w:pPr>
              <w:pBdr>
                <w:top w:val="nil"/>
                <w:left w:val="nil"/>
                <w:bottom w:val="nil"/>
                <w:right w:val="nil"/>
                <w:between w:val="nil"/>
              </w:pBdr>
              <w:spacing w:line="21" w:lineRule="atLeast"/>
              <w:cnfStyle w:val="000000000000" w:firstRow="0" w:lastRow="0" w:firstColumn="0" w:lastColumn="0" w:oddVBand="0" w:evenVBand="0" w:oddHBand="0" w:evenHBand="0" w:firstRowFirstColumn="0" w:firstRowLastColumn="0" w:lastRowFirstColumn="0" w:lastRowLastColumn="0"/>
              <w:rPr>
                <w:rFonts w:eastAsia="Arial" w:cs="Calibri"/>
                <w:color w:val="000000"/>
                <w:szCs w:val="20"/>
              </w:rPr>
            </w:pPr>
            <w:r w:rsidRPr="008A4180">
              <w:rPr>
                <w:rFonts w:eastAsia="Arial" w:cs="Calibri"/>
                <w:color w:val="000000"/>
                <w:szCs w:val="20"/>
              </w:rPr>
              <w:t>None</w:t>
            </w:r>
          </w:p>
        </w:tc>
      </w:tr>
      <w:tr w:rsidR="00514BED" w:rsidRPr="008A4180" w14:paraId="4D4C8569" w14:textId="77777777" w:rsidTr="008A4180">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16BCD271" w14:textId="77777777" w:rsidR="00514BED" w:rsidRPr="008A4180" w:rsidRDefault="002C624B" w:rsidP="008A4180">
            <w:pPr>
              <w:pStyle w:val="Heading4"/>
              <w:spacing w:line="21" w:lineRule="atLeast"/>
              <w:outlineLvl w:val="3"/>
              <w:rPr>
                <w:rFonts w:ascii="Calibri" w:eastAsia="Arial" w:hAnsi="Calibri" w:cs="Calibri"/>
                <w:color w:val="000000"/>
                <w:szCs w:val="20"/>
              </w:rPr>
            </w:pPr>
            <w:r w:rsidRPr="008A4180">
              <w:rPr>
                <w:rFonts w:ascii="Calibri" w:eastAsia="Arial" w:hAnsi="Calibri" w:cs="Calibri"/>
                <w:color w:val="000000"/>
                <w:szCs w:val="20"/>
              </w:rPr>
              <w:t>Incompatibles</w:t>
            </w:r>
          </w:p>
        </w:tc>
        <w:tc>
          <w:tcPr>
            <w:tcW w:w="7295" w:type="dxa"/>
          </w:tcPr>
          <w:p w14:paraId="64E200FB" w14:textId="77777777" w:rsidR="00514BED" w:rsidRPr="008A4180" w:rsidRDefault="002C624B" w:rsidP="008A4180">
            <w:pPr>
              <w:pBdr>
                <w:top w:val="nil"/>
                <w:left w:val="nil"/>
                <w:bottom w:val="nil"/>
                <w:right w:val="nil"/>
                <w:between w:val="nil"/>
              </w:pBdr>
              <w:spacing w:line="21" w:lineRule="atLeast"/>
              <w:cnfStyle w:val="000000000000" w:firstRow="0" w:lastRow="0" w:firstColumn="0" w:lastColumn="0" w:oddVBand="0" w:evenVBand="0" w:oddHBand="0" w:evenHBand="0" w:firstRowFirstColumn="0" w:firstRowLastColumn="0" w:lastRowFirstColumn="0" w:lastRowLastColumn="0"/>
              <w:rPr>
                <w:rFonts w:eastAsia="Arial" w:cs="Calibri"/>
                <w:color w:val="000000"/>
                <w:szCs w:val="20"/>
              </w:rPr>
            </w:pPr>
            <w:r w:rsidRPr="008A4180">
              <w:rPr>
                <w:rFonts w:eastAsia="Arial" w:cs="Calibri"/>
                <w:color w:val="000000"/>
                <w:szCs w:val="20"/>
              </w:rPr>
              <w:t>None</w:t>
            </w:r>
          </w:p>
        </w:tc>
      </w:tr>
      <w:tr w:rsidR="00514BED" w:rsidRPr="008A4180" w14:paraId="70D665A5" w14:textId="77777777" w:rsidTr="008A4180">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0BA6DA06" w14:textId="77777777" w:rsidR="00514BED" w:rsidRPr="008A4180" w:rsidRDefault="002C624B" w:rsidP="008A4180">
            <w:pPr>
              <w:pStyle w:val="Heading4"/>
              <w:spacing w:line="21" w:lineRule="atLeast"/>
              <w:outlineLvl w:val="3"/>
              <w:rPr>
                <w:rFonts w:ascii="Calibri" w:eastAsia="Arial" w:hAnsi="Calibri" w:cs="Calibri"/>
                <w:color w:val="000000"/>
                <w:szCs w:val="20"/>
              </w:rPr>
            </w:pPr>
            <w:r w:rsidRPr="008A4180">
              <w:rPr>
                <w:rFonts w:ascii="Calibri" w:eastAsia="Arial" w:hAnsi="Calibri" w:cs="Calibri"/>
                <w:color w:val="000000"/>
                <w:szCs w:val="20"/>
              </w:rPr>
              <w:t>Prior learning</w:t>
            </w:r>
          </w:p>
        </w:tc>
        <w:tc>
          <w:tcPr>
            <w:tcW w:w="7295" w:type="dxa"/>
          </w:tcPr>
          <w:p w14:paraId="1B06D998" w14:textId="77777777" w:rsidR="00514BED" w:rsidRPr="008A4180" w:rsidRDefault="002C624B" w:rsidP="008A4180">
            <w:pPr>
              <w:pBdr>
                <w:top w:val="nil"/>
                <w:left w:val="nil"/>
                <w:bottom w:val="nil"/>
                <w:right w:val="nil"/>
                <w:between w:val="nil"/>
              </w:pBdr>
              <w:spacing w:line="21" w:lineRule="atLeast"/>
              <w:cnfStyle w:val="000000000000" w:firstRow="0" w:lastRow="0" w:firstColumn="0" w:lastColumn="0" w:oddVBand="0" w:evenVBand="0" w:oddHBand="0" w:evenHBand="0" w:firstRowFirstColumn="0" w:firstRowLastColumn="0" w:lastRowFirstColumn="0" w:lastRowLastColumn="0"/>
              <w:rPr>
                <w:rFonts w:eastAsia="Arial" w:cs="Calibri"/>
                <w:color w:val="000000"/>
                <w:szCs w:val="20"/>
              </w:rPr>
            </w:pPr>
            <w:r w:rsidRPr="008A4180">
              <w:rPr>
                <w:rFonts w:eastAsia="Arial" w:cs="Calibri"/>
                <w:color w:val="000000"/>
                <w:szCs w:val="20"/>
              </w:rPr>
              <w:t>Where a student can demonstrate that they have achieved at least 80% of the learning outcomes of this module, by academic certified achievement, or through quantifiable and documented experience, they can apply to the School for that prior learning to be recognised.  Applications must be received prior to the commencement of delivery of the module.</w:t>
            </w:r>
          </w:p>
        </w:tc>
      </w:tr>
      <w:tr w:rsidR="00514BED" w:rsidRPr="008A4180" w14:paraId="46B0856F" w14:textId="77777777" w:rsidTr="008A4180">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6C066B71" w14:textId="77777777" w:rsidR="00514BED" w:rsidRPr="008A4180" w:rsidRDefault="002C624B" w:rsidP="008A4180">
            <w:pPr>
              <w:pStyle w:val="Heading4"/>
              <w:spacing w:line="21" w:lineRule="atLeast"/>
              <w:outlineLvl w:val="3"/>
              <w:rPr>
                <w:rFonts w:ascii="Calibri" w:eastAsia="Arial" w:hAnsi="Calibri" w:cs="Calibri"/>
                <w:color w:val="000000"/>
                <w:szCs w:val="20"/>
              </w:rPr>
            </w:pPr>
            <w:r w:rsidRPr="008A4180">
              <w:rPr>
                <w:rFonts w:ascii="Calibri" w:eastAsia="Arial" w:hAnsi="Calibri" w:cs="Calibri"/>
                <w:color w:val="000000"/>
                <w:szCs w:val="20"/>
              </w:rPr>
              <w:t>Recommended</w:t>
            </w:r>
          </w:p>
        </w:tc>
        <w:tc>
          <w:tcPr>
            <w:tcW w:w="7295" w:type="dxa"/>
          </w:tcPr>
          <w:p w14:paraId="4D54BBAC" w14:textId="77777777" w:rsidR="00514BED" w:rsidRPr="008A4180" w:rsidRDefault="002C624B" w:rsidP="008A4180">
            <w:pPr>
              <w:pBdr>
                <w:top w:val="nil"/>
                <w:left w:val="nil"/>
                <w:bottom w:val="nil"/>
                <w:right w:val="nil"/>
                <w:between w:val="nil"/>
              </w:pBdr>
              <w:spacing w:line="21" w:lineRule="atLeast"/>
              <w:cnfStyle w:val="000000000000" w:firstRow="0" w:lastRow="0" w:firstColumn="0" w:lastColumn="0" w:oddVBand="0" w:evenVBand="0" w:oddHBand="0" w:evenHBand="0" w:firstRowFirstColumn="0" w:firstRowLastColumn="0" w:lastRowFirstColumn="0" w:lastRowLastColumn="0"/>
              <w:rPr>
                <w:rFonts w:eastAsia="Arial" w:cs="Calibri"/>
                <w:color w:val="000000"/>
                <w:szCs w:val="20"/>
              </w:rPr>
            </w:pPr>
            <w:r w:rsidRPr="008A4180">
              <w:rPr>
                <w:rFonts w:eastAsia="Arial" w:cs="Calibri"/>
                <w:color w:val="000000"/>
                <w:szCs w:val="20"/>
              </w:rPr>
              <w:t>VC1-1</w:t>
            </w:r>
          </w:p>
        </w:tc>
      </w:tr>
    </w:tbl>
    <w:p w14:paraId="21AC7605" w14:textId="77777777" w:rsidR="008A4180" w:rsidRPr="00AA4FA6" w:rsidRDefault="008A4180" w:rsidP="00AA4FA6">
      <w:pPr>
        <w:pStyle w:val="Heading2"/>
      </w:pPr>
      <w:r w:rsidRPr="00AA4FA6">
        <w:t>How will I be assessed?</w:t>
      </w:r>
    </w:p>
    <w:tbl>
      <w:tblPr>
        <w:tblStyle w:val="GridTable2-Accent1"/>
        <w:tblW w:w="6521" w:type="dxa"/>
        <w:tblLayout w:type="fixed"/>
        <w:tblLook w:val="0660" w:firstRow="1" w:lastRow="1" w:firstColumn="0" w:lastColumn="0" w:noHBand="1" w:noVBand="1"/>
      </w:tblPr>
      <w:tblGrid>
        <w:gridCol w:w="3544"/>
        <w:gridCol w:w="1714"/>
        <w:gridCol w:w="1263"/>
      </w:tblGrid>
      <w:tr w:rsidR="00514BED" w:rsidRPr="008A4180" w14:paraId="69B239BB" w14:textId="77777777" w:rsidTr="008A4180">
        <w:trPr>
          <w:cnfStyle w:val="100000000000" w:firstRow="1" w:lastRow="0" w:firstColumn="0" w:lastColumn="0" w:oddVBand="0" w:evenVBand="0" w:oddHBand="0" w:evenHBand="0" w:firstRowFirstColumn="0" w:firstRowLastColumn="0" w:lastRowFirstColumn="0" w:lastRowLastColumn="0"/>
          <w:trHeight w:val="340"/>
        </w:trPr>
        <w:tc>
          <w:tcPr>
            <w:tcW w:w="3544" w:type="dxa"/>
          </w:tcPr>
          <w:p w14:paraId="5117899F" w14:textId="77777777" w:rsidR="00514BED" w:rsidRPr="008A4180" w:rsidRDefault="002C624B" w:rsidP="008A4180">
            <w:pPr>
              <w:rPr>
                <w:rFonts w:cs="Calibri"/>
              </w:rPr>
            </w:pPr>
            <w:r w:rsidRPr="008A4180">
              <w:rPr>
                <w:rFonts w:cs="Calibri"/>
              </w:rPr>
              <w:t>Assessment tool</w:t>
            </w:r>
          </w:p>
        </w:tc>
        <w:tc>
          <w:tcPr>
            <w:tcW w:w="1714" w:type="dxa"/>
          </w:tcPr>
          <w:p w14:paraId="0F078317" w14:textId="77777777" w:rsidR="00514BED" w:rsidRPr="008A4180" w:rsidRDefault="002C624B" w:rsidP="008A4180">
            <w:pPr>
              <w:rPr>
                <w:rFonts w:cs="Calibri"/>
              </w:rPr>
            </w:pPr>
            <w:r w:rsidRPr="008A4180">
              <w:rPr>
                <w:rFonts w:cs="Calibri"/>
              </w:rPr>
              <w:t>% of final grade</w:t>
            </w:r>
          </w:p>
        </w:tc>
        <w:tc>
          <w:tcPr>
            <w:tcW w:w="1263" w:type="dxa"/>
          </w:tcPr>
          <w:p w14:paraId="2E3CB32B" w14:textId="77777777" w:rsidR="00514BED" w:rsidRPr="008A4180" w:rsidRDefault="002C624B" w:rsidP="008A4180">
            <w:pPr>
              <w:rPr>
                <w:rFonts w:cs="Calibri"/>
              </w:rPr>
            </w:pPr>
            <w:r w:rsidRPr="008A4180">
              <w:rPr>
                <w:rFonts w:cs="Calibri"/>
              </w:rPr>
              <w:t>Timing</w:t>
            </w:r>
          </w:p>
        </w:tc>
      </w:tr>
      <w:tr w:rsidR="00514BED" w:rsidRPr="008A4180" w14:paraId="38845B23" w14:textId="77777777" w:rsidTr="008A4180">
        <w:trPr>
          <w:trHeight w:val="340"/>
        </w:trPr>
        <w:tc>
          <w:tcPr>
            <w:tcW w:w="3544" w:type="dxa"/>
          </w:tcPr>
          <w:p w14:paraId="755DB537" w14:textId="77777777" w:rsidR="00514BED" w:rsidRPr="008A4180" w:rsidRDefault="002C624B" w:rsidP="008A4180">
            <w:pPr>
              <w:rPr>
                <w:rFonts w:cs="Calibri"/>
              </w:rPr>
            </w:pPr>
            <w:r w:rsidRPr="008A4180">
              <w:rPr>
                <w:rFonts w:cs="Calibri"/>
              </w:rPr>
              <w:t>Presentation and Illustrated essay</w:t>
            </w:r>
          </w:p>
        </w:tc>
        <w:tc>
          <w:tcPr>
            <w:tcW w:w="1714" w:type="dxa"/>
          </w:tcPr>
          <w:p w14:paraId="26FDE99B" w14:textId="77777777" w:rsidR="00514BED" w:rsidRPr="008A4180" w:rsidRDefault="002C624B" w:rsidP="008A4180">
            <w:pPr>
              <w:rPr>
                <w:rFonts w:cs="Calibri"/>
              </w:rPr>
            </w:pPr>
            <w:r w:rsidRPr="008A4180">
              <w:rPr>
                <w:rFonts w:cs="Calibri"/>
              </w:rPr>
              <w:t>100%</w:t>
            </w:r>
          </w:p>
        </w:tc>
        <w:tc>
          <w:tcPr>
            <w:tcW w:w="1263" w:type="dxa"/>
          </w:tcPr>
          <w:p w14:paraId="75F7A510" w14:textId="77777777" w:rsidR="00514BED" w:rsidRPr="008A4180" w:rsidRDefault="002C624B" w:rsidP="008A4180">
            <w:pPr>
              <w:rPr>
                <w:rFonts w:cs="Calibri"/>
              </w:rPr>
            </w:pPr>
            <w:r w:rsidRPr="008A4180">
              <w:rPr>
                <w:rFonts w:cs="Calibri"/>
              </w:rPr>
              <w:t>c. w. 11</w:t>
            </w:r>
          </w:p>
        </w:tc>
      </w:tr>
      <w:tr w:rsidR="00514BED" w:rsidRPr="008A4180" w14:paraId="3908DAAA" w14:textId="77777777" w:rsidTr="008A4180">
        <w:trPr>
          <w:cnfStyle w:val="010000000000" w:firstRow="0" w:lastRow="1" w:firstColumn="0" w:lastColumn="0" w:oddVBand="0" w:evenVBand="0" w:oddHBand="0" w:evenHBand="0" w:firstRowFirstColumn="0" w:firstRowLastColumn="0" w:lastRowFirstColumn="0" w:lastRowLastColumn="0"/>
          <w:trHeight w:val="340"/>
        </w:trPr>
        <w:tc>
          <w:tcPr>
            <w:tcW w:w="3544" w:type="dxa"/>
          </w:tcPr>
          <w:p w14:paraId="48A91F29" w14:textId="77777777" w:rsidR="00514BED" w:rsidRPr="008A4180" w:rsidRDefault="002C624B" w:rsidP="008A4180">
            <w:pPr>
              <w:rPr>
                <w:rFonts w:cs="Calibri"/>
              </w:rPr>
            </w:pPr>
            <w:r w:rsidRPr="008A4180">
              <w:rPr>
                <w:rFonts w:cs="Calibri"/>
              </w:rPr>
              <w:t>Total</w:t>
            </w:r>
          </w:p>
        </w:tc>
        <w:tc>
          <w:tcPr>
            <w:tcW w:w="1714" w:type="dxa"/>
          </w:tcPr>
          <w:p w14:paraId="1B1D52BF" w14:textId="77777777" w:rsidR="00514BED" w:rsidRPr="008A4180" w:rsidRDefault="002C624B" w:rsidP="008A4180">
            <w:pPr>
              <w:rPr>
                <w:rFonts w:cs="Calibri"/>
              </w:rPr>
            </w:pPr>
            <w:r w:rsidRPr="008A4180">
              <w:rPr>
                <w:rFonts w:cs="Calibri"/>
              </w:rPr>
              <w:t>100%</w:t>
            </w:r>
          </w:p>
        </w:tc>
        <w:tc>
          <w:tcPr>
            <w:tcW w:w="1263" w:type="dxa"/>
          </w:tcPr>
          <w:p w14:paraId="4EFC1D9C" w14:textId="77777777" w:rsidR="00514BED" w:rsidRPr="008A4180" w:rsidRDefault="00514BED" w:rsidP="008A4180">
            <w:pPr>
              <w:rPr>
                <w:rFonts w:cs="Calibri"/>
              </w:rPr>
            </w:pPr>
          </w:p>
        </w:tc>
      </w:tr>
    </w:tbl>
    <w:p w14:paraId="23B9824D" w14:textId="77777777" w:rsidR="00514BED" w:rsidRPr="00AA4FA6" w:rsidRDefault="00514BED">
      <w:pPr>
        <w:rPr>
          <w:rFonts w:eastAsia="Arial" w:cs="Calibri"/>
          <w:color w:val="000000"/>
          <w:sz w:val="20"/>
          <w:szCs w:val="20"/>
        </w:rPr>
      </w:pPr>
    </w:p>
    <w:p w14:paraId="4D313B1E" w14:textId="77777777" w:rsidR="008A4180" w:rsidRPr="00AA4FA6" w:rsidRDefault="008A4180" w:rsidP="00AA4FA6">
      <w:pPr>
        <w:pStyle w:val="Heading2"/>
      </w:pPr>
      <w:r w:rsidRPr="00AA4FA6">
        <w:t>Feedback, results and grading</w:t>
      </w:r>
    </w:p>
    <w:p w14:paraId="74B5BA19" w14:textId="040A30E9" w:rsidR="008A4180" w:rsidRPr="00AA4FA6" w:rsidRDefault="008A4180" w:rsidP="008A4180">
      <w:pPr>
        <w:pStyle w:val="ListParagraph"/>
      </w:pPr>
      <w:r w:rsidRPr="00AA4FA6">
        <w:t xml:space="preserve">Eschewing a focus on particular forms of cultural production or on particular approaches to the economics of visual culture, the essay briefs have been framed in order to allow the student to select </w:t>
      </w:r>
      <w:r>
        <w:t>their</w:t>
      </w:r>
      <w:r w:rsidRPr="00AA4FA6">
        <w:t xml:space="preserve"> subject to research.</w:t>
      </w:r>
      <w:r>
        <w:t xml:space="preserve"> </w:t>
      </w:r>
      <w:r w:rsidRPr="00AA4FA6">
        <w:t xml:space="preserve"> As a third-year elective on the BA in Visual Culture, students will be able to select subjects which afford opportunities to undertake primary research (for instance, by examining a current art or design practice or circumstance which impacts on art and design practice in Dublin today). </w:t>
      </w:r>
      <w:r>
        <w:t xml:space="preserve"> </w:t>
      </w:r>
      <w:r w:rsidRPr="00AA4FA6">
        <w:t>The selection of the subject will be made in consultation with the module co</w:t>
      </w:r>
      <w:r>
        <w:t>-</w:t>
      </w:r>
      <w:r w:rsidRPr="00AA4FA6">
        <w:t xml:space="preserve">ordinator. </w:t>
      </w:r>
      <w:r>
        <w:t xml:space="preserve"> </w:t>
      </w:r>
      <w:r w:rsidRPr="00AA4FA6">
        <w:t xml:space="preserve">Students undertaking the module will have a chance to present their ideas in a presentation in week 8 or 9 to their peers and receive verbal feedback. </w:t>
      </w:r>
      <w:r>
        <w:t xml:space="preserve"> </w:t>
      </w:r>
      <w:r w:rsidRPr="00AA4FA6">
        <w:t xml:space="preserve">The presentation will then form the basis of </w:t>
      </w:r>
      <w:r>
        <w:t xml:space="preserve">a </w:t>
      </w:r>
      <w:r w:rsidRPr="00AA4FA6">
        <w:t>2,500-3,00</w:t>
      </w:r>
      <w:r>
        <w:t>0-</w:t>
      </w:r>
      <w:r w:rsidRPr="00AA4FA6">
        <w:t>word essay submitted for assessment.</w:t>
      </w:r>
    </w:p>
    <w:p w14:paraId="7DF8A12A" w14:textId="06B88017" w:rsidR="008A4180" w:rsidRPr="00AA4FA6" w:rsidRDefault="008A4180" w:rsidP="008A4180">
      <w:pPr>
        <w:pStyle w:val="ListParagraph"/>
      </w:pPr>
      <w:r w:rsidRPr="00AA4FA6">
        <w:t xml:space="preserve">The essay will be assessed according to </w:t>
      </w:r>
      <w:hyperlink r:id="rId8" w:history="1">
        <w:r w:rsidRPr="008A4180">
          <w:rPr>
            <w:rStyle w:val="Hyperlink"/>
          </w:rPr>
          <w:t>NCAD Grade Descriptors</w:t>
        </w:r>
      </w:hyperlink>
      <w:r w:rsidRPr="00AA4FA6">
        <w:t>.</w:t>
      </w:r>
    </w:p>
    <w:p w14:paraId="49148A5F" w14:textId="77777777" w:rsidR="008A4180" w:rsidRPr="00AA4FA6" w:rsidRDefault="008A4180" w:rsidP="00AA4FA6">
      <w:pPr>
        <w:pStyle w:val="Heading2"/>
      </w:pPr>
      <w:r w:rsidRPr="00AA4FA6">
        <w:lastRenderedPageBreak/>
        <w:t>What happens if I fail?</w:t>
      </w:r>
    </w:p>
    <w:p w14:paraId="340D2758" w14:textId="77777777" w:rsidR="008A4180" w:rsidRPr="00AA4FA6" w:rsidRDefault="008A4180" w:rsidP="00AA4FA6">
      <w:pPr>
        <w:pStyle w:val="Heading3"/>
      </w:pPr>
      <w:r w:rsidRPr="00AA4FA6">
        <w:t>Resit Opportunities</w:t>
      </w:r>
    </w:p>
    <w:p w14:paraId="77AB23B9" w14:textId="77777777" w:rsidR="008A4180" w:rsidRPr="00AA4FA6" w:rsidRDefault="008A4180" w:rsidP="008A4180">
      <w:pPr>
        <w:pStyle w:val="ListParagraph"/>
      </w:pPr>
      <w:r w:rsidRPr="00AA4FA6">
        <w:t>Opportunities will be provided during or at the end of trimester 2 to students who do not complete all assessments in trimester 1, but students will not be able to quality for the award on completion of this programme until the learning outcomes of this module have been met.</w:t>
      </w:r>
    </w:p>
    <w:p w14:paraId="0CADDE71" w14:textId="77777777" w:rsidR="008A4180" w:rsidRPr="00AA4FA6" w:rsidRDefault="008A4180" w:rsidP="00AA4FA6">
      <w:pPr>
        <w:pStyle w:val="Heading2"/>
      </w:pPr>
      <w:r w:rsidRPr="00AA4FA6">
        <w:t>When and where is this module offered?</w:t>
      </w:r>
    </w:p>
    <w:p w14:paraId="053B57F7" w14:textId="77777777" w:rsidR="008A4180" w:rsidRPr="00AA4FA6" w:rsidRDefault="008A4180" w:rsidP="008A4180">
      <w:pPr>
        <w:pStyle w:val="ListParagraph"/>
      </w:pPr>
      <w:r w:rsidRPr="00AA4FA6">
        <w:t>Venue TBC / Week 1-11, trimester 2</w:t>
      </w:r>
    </w:p>
    <w:p w14:paraId="50AA5A13" w14:textId="77777777" w:rsidR="008A4180" w:rsidRPr="00AA4FA6" w:rsidRDefault="008A4180" w:rsidP="00AA4FA6">
      <w:pPr>
        <w:pStyle w:val="Heading2"/>
      </w:pPr>
      <w:r w:rsidRPr="00AA4FA6">
        <w:t>How will I have the chance to evaluate the module?</w:t>
      </w:r>
    </w:p>
    <w:p w14:paraId="324E5F59" w14:textId="77777777" w:rsidR="008A4180" w:rsidRPr="00AA4FA6" w:rsidRDefault="008A4180" w:rsidP="008A4180">
      <w:pPr>
        <w:pStyle w:val="ListParagraph"/>
      </w:pPr>
      <w:r w:rsidRPr="00AA4FA6">
        <w:t>It is important to NCAD that students inform the development of teaching and learning at NCAD.  We encourage all students to communicate their concerns and their observations about their study to members of staff so that any changes can be made in a timely manner.</w:t>
      </w:r>
    </w:p>
    <w:p w14:paraId="03ACA803" w14:textId="5C0C7087" w:rsidR="008A4180" w:rsidRPr="00AA4FA6" w:rsidRDefault="008A4180" w:rsidP="008A4180">
      <w:pPr>
        <w:pStyle w:val="ListParagraph"/>
      </w:pPr>
      <w:r w:rsidRPr="00AA4FA6">
        <w:t xml:space="preserve">About two-thirds of the way through the </w:t>
      </w:r>
      <w:r>
        <w:t>year</w:t>
      </w:r>
      <w:r w:rsidRPr="00AA4FA6">
        <w:t>, a student forum will be convened to gather students’ comments about their study and the delivery of the programme.  In addition, at the end of Trimester 2, students have the opportunity to complete an online evaluation of their study and experience at NCAD.  These evaluation events are important to current and future students, to ensure we can enhance the delivery of programmes at NCAD.</w:t>
      </w:r>
    </w:p>
    <w:p w14:paraId="11B623EE" w14:textId="77777777" w:rsidR="008A4180" w:rsidRPr="00AA4FA6" w:rsidRDefault="008A4180" w:rsidP="008A4180">
      <w:pPr>
        <w:pStyle w:val="ListParagraph"/>
      </w:pPr>
      <w:r w:rsidRPr="00AA4FA6">
        <w:t>In addition, you are invited to discuss your experience on the module with your lecturers at any point during the year.  You can also relay your comments to the class student representative who will communicate your comments to the staff.</w:t>
      </w:r>
    </w:p>
    <w:p w14:paraId="742149F8" w14:textId="77777777" w:rsidR="00514BED" w:rsidRPr="00AA4FA6" w:rsidRDefault="00514BED" w:rsidP="008A4180"/>
    <w:p w14:paraId="269D680C" w14:textId="5B0F2CAE" w:rsidR="00514BED" w:rsidRPr="00AA4FA6" w:rsidRDefault="002C624B" w:rsidP="008A4180">
      <w:pPr>
        <w:jc w:val="center"/>
        <w:rPr>
          <w:rFonts w:cs="Calibri"/>
          <w:color w:val="000000"/>
          <w:sz w:val="20"/>
          <w:szCs w:val="20"/>
        </w:rPr>
      </w:pPr>
      <w:r w:rsidRPr="008A4180">
        <w:rPr>
          <w:b/>
          <w:sz w:val="20"/>
        </w:rPr>
        <w:t>For further details on the content of your module and teaching arrangements,</w:t>
      </w:r>
      <w:r w:rsidRPr="008A4180">
        <w:rPr>
          <w:b/>
          <w:sz w:val="20"/>
        </w:rPr>
        <w:br/>
        <w:t>consult your Programme or Module Handbook</w:t>
      </w:r>
    </w:p>
    <w:sectPr w:rsidR="00514BED" w:rsidRPr="00AA4FA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454"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C1180" w14:textId="77777777" w:rsidR="007F0625" w:rsidRDefault="007F0625">
      <w:r>
        <w:separator/>
      </w:r>
    </w:p>
  </w:endnote>
  <w:endnote w:type="continuationSeparator" w:id="0">
    <w:p w14:paraId="091305BA" w14:textId="77777777" w:rsidR="007F0625" w:rsidRDefault="007F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altName w:val="Times New Roman"/>
    <w:panose1 w:val="00000500000000020000"/>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A24B4" w14:textId="77777777" w:rsidR="00514BED" w:rsidRDefault="002C624B">
    <w:pPr>
      <w:rPr>
        <w:i/>
        <w:sz w:val="18"/>
        <w:szCs w:val="18"/>
      </w:rPr>
    </w:pPr>
    <w:r>
      <w:rPr>
        <w:i/>
        <w:sz w:val="18"/>
        <w:szCs w:val="18"/>
      </w:rPr>
      <w:t>VC1-1: Introduction to Key Concepts in Art &amp; Design 1A</w:t>
    </w:r>
  </w:p>
  <w:p w14:paraId="07AEC764" w14:textId="1A9E6C1E" w:rsidR="00514BED" w:rsidRDefault="002C624B">
    <w:pPr>
      <w:pBdr>
        <w:top w:val="single" w:sz="4" w:space="1" w:color="4472C4"/>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ab/>
      <w:t xml:space="preserve">Page </w:t>
    </w:r>
    <w:r>
      <w:rPr>
        <w:rFonts w:cs="Calibri"/>
        <w:i/>
        <w:color w:val="000000"/>
        <w:sz w:val="18"/>
        <w:szCs w:val="18"/>
      </w:rPr>
      <w:fldChar w:fldCharType="begin"/>
    </w:r>
    <w:r>
      <w:rPr>
        <w:rFonts w:cs="Calibri"/>
        <w:i/>
        <w:color w:val="000000"/>
        <w:sz w:val="18"/>
        <w:szCs w:val="18"/>
      </w:rPr>
      <w:instrText>PAGE</w:instrText>
    </w:r>
    <w:r>
      <w:rPr>
        <w:rFonts w:cs="Calibri"/>
        <w:i/>
        <w:color w:val="000000"/>
        <w:sz w:val="18"/>
        <w:szCs w:val="18"/>
      </w:rPr>
      <w:fldChar w:fldCharType="end"/>
    </w:r>
    <w:r>
      <w:rPr>
        <w:rFonts w:cs="Calibri"/>
        <w:i/>
        <w:color w:val="000000"/>
        <w:sz w:val="18"/>
        <w:szCs w:val="18"/>
      </w:rPr>
      <w:t xml:space="preserve"> of </w:t>
    </w:r>
    <w:r>
      <w:rPr>
        <w:rFonts w:cs="Calibri"/>
        <w:i/>
        <w:color w:val="000000"/>
        <w:sz w:val="18"/>
        <w:szCs w:val="18"/>
      </w:rPr>
      <w:fldChar w:fldCharType="begin"/>
    </w:r>
    <w:r>
      <w:rPr>
        <w:rFonts w:cs="Calibri"/>
        <w:i/>
        <w:color w:val="000000"/>
        <w:sz w:val="18"/>
        <w:szCs w:val="18"/>
      </w:rPr>
      <w:instrText>NUMPAGES</w:instrText>
    </w:r>
    <w:r>
      <w:rPr>
        <w:rFonts w:cs="Calibri"/>
        <w:i/>
        <w:color w:val="000000"/>
        <w:sz w:val="18"/>
        <w:szCs w:val="18"/>
      </w:rPr>
      <w:fldChar w:fldCharType="separate"/>
    </w:r>
    <w:r w:rsidR="00F76374">
      <w:rPr>
        <w:rFonts w:cs="Calibri"/>
        <w:i/>
        <w:noProof/>
        <w:color w:val="000000"/>
        <w:sz w:val="18"/>
        <w:szCs w:val="18"/>
      </w:rPr>
      <w:t>4</w:t>
    </w:r>
    <w:r>
      <w:rPr>
        <w:rFonts w:cs="Calibri"/>
        <w:i/>
        <w:color w:val="000000"/>
        <w:sz w:val="18"/>
        <w:szCs w:val="18"/>
      </w:rPr>
      <w:fldChar w:fldCharType="end"/>
    </w:r>
    <w:r>
      <w:rPr>
        <w:rFonts w:cs="Calibri"/>
        <w:i/>
        <w:color w:val="000000"/>
        <w:sz w:val="18"/>
        <w:szCs w:val="18"/>
      </w:rPr>
      <w:tab/>
      <w:t>Module Descriptor</w:t>
    </w:r>
  </w:p>
  <w:p w14:paraId="5723EB11" w14:textId="77777777" w:rsidR="00514BED" w:rsidRDefault="002C624B">
    <w:pPr>
      <w:pBdr>
        <w:top w:val="none" w:sz="0" w:space="0" w:color="000000"/>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Published: June 2019</w:t>
    </w:r>
    <w:r>
      <w:rPr>
        <w:rFonts w:cs="Calibri"/>
        <w:i/>
        <w:color w:val="000000"/>
        <w:sz w:val="18"/>
        <w:szCs w:val="18"/>
      </w:rPr>
      <w:tab/>
    </w:r>
    <w:r>
      <w:rPr>
        <w:rFonts w:cs="Calibri"/>
        <w:i/>
        <w:color w:val="000000"/>
        <w:sz w:val="18"/>
        <w:szCs w:val="18"/>
      </w:rPr>
      <w:tab/>
      <w:t>Next review: June 2020</w:t>
    </w:r>
  </w:p>
  <w:p w14:paraId="17FDDDAB" w14:textId="77777777" w:rsidR="00514BED" w:rsidRDefault="002C624B">
    <w:pPr>
      <w:pBdr>
        <w:top w:val="none" w:sz="0" w:space="0" w:color="000000"/>
        <w:left w:val="nil"/>
        <w:bottom w:val="nil"/>
        <w:right w:val="nil"/>
        <w:between w:val="nil"/>
      </w:pBdr>
      <w:tabs>
        <w:tab w:val="center" w:pos="4513"/>
        <w:tab w:val="right" w:pos="9026"/>
      </w:tabs>
      <w:jc w:val="center"/>
      <w:rPr>
        <w:rFonts w:cs="Calibri"/>
        <w:color w:val="000000"/>
        <w:sz w:val="16"/>
        <w:szCs w:val="16"/>
      </w:rPr>
    </w:pPr>
    <w:r>
      <w:rPr>
        <w:rFonts w:cs="Calibri"/>
        <w:color w:val="000000"/>
        <w:sz w:val="16"/>
        <w:szCs w:val="16"/>
      </w:rPr>
      <w:t>This document was prepared for NCAD students.  It may not be reproduced in whole or part without permission from NCAD.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85357" w14:textId="77777777" w:rsidR="00AA4FA6" w:rsidRDefault="00AA4FA6" w:rsidP="00AA4FA6">
    <w:pPr>
      <w:pBdr>
        <w:top w:val="single" w:sz="4" w:space="1" w:color="4472C4"/>
        <w:left w:val="nil"/>
        <w:bottom w:val="nil"/>
        <w:right w:val="nil"/>
        <w:between w:val="nil"/>
      </w:pBdr>
      <w:tabs>
        <w:tab w:val="center" w:pos="4513"/>
        <w:tab w:val="right" w:pos="9026"/>
        <w:tab w:val="center" w:pos="4820"/>
        <w:tab w:val="right" w:pos="9638"/>
      </w:tabs>
      <w:rPr>
        <w:rFonts w:cs="Calibri"/>
        <w:i/>
        <w:color w:val="000000"/>
        <w:sz w:val="18"/>
        <w:szCs w:val="18"/>
      </w:rPr>
    </w:pPr>
    <w:r>
      <w:rPr>
        <w:i/>
        <w:sz w:val="18"/>
        <w:szCs w:val="18"/>
      </w:rPr>
      <w:t>VC3-1: Economies of Visual Culture</w:t>
    </w:r>
    <w:r>
      <w:rPr>
        <w:rFonts w:cs="Calibri"/>
        <w:i/>
        <w:color w:val="000000"/>
        <w:sz w:val="18"/>
        <w:szCs w:val="18"/>
      </w:rPr>
      <w:tab/>
    </w:r>
    <w:r>
      <w:rPr>
        <w:rFonts w:cs="Calibri"/>
        <w:i/>
        <w:color w:val="000000"/>
        <w:sz w:val="18"/>
        <w:szCs w:val="18"/>
      </w:rPr>
      <w:tab/>
      <w:t>Module Descriptor</w:t>
    </w:r>
  </w:p>
  <w:p w14:paraId="71021049" w14:textId="42322274" w:rsidR="00AA4FA6" w:rsidRDefault="00F9559A" w:rsidP="00AA4FA6">
    <w:pPr>
      <w:pBdr>
        <w:top w:val="none" w:sz="0" w:space="0" w:color="000000"/>
      </w:pBdr>
      <w:tabs>
        <w:tab w:val="center" w:pos="4513"/>
        <w:tab w:val="right" w:pos="9026"/>
        <w:tab w:val="center" w:pos="4820"/>
        <w:tab w:val="right" w:pos="9638"/>
      </w:tabs>
      <w:rPr>
        <w:rFonts w:cs="Calibri"/>
        <w:i/>
        <w:color w:val="000000"/>
        <w:sz w:val="18"/>
        <w:szCs w:val="18"/>
      </w:rPr>
    </w:pPr>
    <w:r>
      <w:rPr>
        <w:rFonts w:cs="Calibri"/>
        <w:i/>
        <w:color w:val="000000"/>
        <w:sz w:val="18"/>
        <w:szCs w:val="18"/>
      </w:rPr>
      <w:t xml:space="preserve">Published: </w:t>
    </w:r>
    <w:r>
      <w:rPr>
        <w:i/>
        <w:sz w:val="18"/>
        <w:szCs w:val="18"/>
      </w:rPr>
      <w:t>September 2023</w:t>
    </w:r>
    <w:r w:rsidR="00AA4FA6">
      <w:rPr>
        <w:i/>
        <w:sz w:val="18"/>
        <w:szCs w:val="18"/>
      </w:rPr>
      <w:tab/>
    </w:r>
    <w:r w:rsidR="00AA4FA6">
      <w:rPr>
        <w:rFonts w:cs="Calibri"/>
        <w:i/>
        <w:color w:val="000000"/>
        <w:sz w:val="18"/>
        <w:szCs w:val="18"/>
      </w:rPr>
      <w:t xml:space="preserve">Page </w:t>
    </w:r>
    <w:r w:rsidR="00AA4FA6">
      <w:rPr>
        <w:rFonts w:cs="Calibri"/>
        <w:i/>
        <w:color w:val="000000"/>
        <w:sz w:val="18"/>
        <w:szCs w:val="18"/>
      </w:rPr>
      <w:fldChar w:fldCharType="begin"/>
    </w:r>
    <w:r w:rsidR="00AA4FA6">
      <w:rPr>
        <w:rFonts w:cs="Calibri"/>
        <w:i/>
        <w:color w:val="000000"/>
        <w:sz w:val="18"/>
        <w:szCs w:val="18"/>
      </w:rPr>
      <w:instrText>PAGE</w:instrText>
    </w:r>
    <w:r w:rsidR="00AA4FA6">
      <w:rPr>
        <w:rFonts w:cs="Calibri"/>
        <w:i/>
        <w:color w:val="000000"/>
        <w:sz w:val="18"/>
        <w:szCs w:val="18"/>
      </w:rPr>
      <w:fldChar w:fldCharType="separate"/>
    </w:r>
    <w:r w:rsidR="00AA4FA6">
      <w:rPr>
        <w:rFonts w:cs="Calibri"/>
        <w:i/>
        <w:color w:val="000000"/>
        <w:sz w:val="18"/>
        <w:szCs w:val="18"/>
      </w:rPr>
      <w:t>1</w:t>
    </w:r>
    <w:r w:rsidR="00AA4FA6">
      <w:rPr>
        <w:rFonts w:cs="Calibri"/>
        <w:i/>
        <w:color w:val="000000"/>
        <w:sz w:val="18"/>
        <w:szCs w:val="18"/>
      </w:rPr>
      <w:fldChar w:fldCharType="end"/>
    </w:r>
    <w:r w:rsidR="00AA4FA6">
      <w:rPr>
        <w:rFonts w:cs="Calibri"/>
        <w:i/>
        <w:color w:val="000000"/>
        <w:sz w:val="18"/>
        <w:szCs w:val="18"/>
      </w:rPr>
      <w:t xml:space="preserve"> of </w:t>
    </w:r>
    <w:r w:rsidR="00AA4FA6">
      <w:rPr>
        <w:rFonts w:cs="Calibri"/>
        <w:i/>
        <w:color w:val="000000"/>
        <w:sz w:val="18"/>
        <w:szCs w:val="18"/>
      </w:rPr>
      <w:fldChar w:fldCharType="begin"/>
    </w:r>
    <w:r w:rsidR="00AA4FA6">
      <w:rPr>
        <w:rFonts w:cs="Calibri"/>
        <w:i/>
        <w:color w:val="000000"/>
        <w:sz w:val="18"/>
        <w:szCs w:val="18"/>
      </w:rPr>
      <w:instrText>NUMPAGES</w:instrText>
    </w:r>
    <w:r w:rsidR="00AA4FA6">
      <w:rPr>
        <w:rFonts w:cs="Calibri"/>
        <w:i/>
        <w:color w:val="000000"/>
        <w:sz w:val="18"/>
        <w:szCs w:val="18"/>
      </w:rPr>
      <w:fldChar w:fldCharType="separate"/>
    </w:r>
    <w:r w:rsidR="00AA4FA6">
      <w:rPr>
        <w:rFonts w:cs="Calibri"/>
        <w:i/>
        <w:color w:val="000000"/>
        <w:sz w:val="18"/>
        <w:szCs w:val="18"/>
      </w:rPr>
      <w:t>3</w:t>
    </w:r>
    <w:r w:rsidR="00AA4FA6">
      <w:rPr>
        <w:rFonts w:cs="Calibri"/>
        <w:i/>
        <w:color w:val="000000"/>
        <w:sz w:val="18"/>
        <w:szCs w:val="18"/>
      </w:rPr>
      <w:fldChar w:fldCharType="end"/>
    </w:r>
    <w:r w:rsidR="00AA4FA6">
      <w:rPr>
        <w:i/>
        <w:sz w:val="18"/>
        <w:szCs w:val="18"/>
      </w:rPr>
      <w:tab/>
    </w:r>
    <w:bookmarkStart w:id="1" w:name="_GoBack"/>
    <w:bookmarkEnd w:id="1"/>
  </w:p>
  <w:p w14:paraId="69D61223" w14:textId="30A72DDB" w:rsidR="00514BED" w:rsidRPr="00AA4FA6" w:rsidRDefault="00AA4FA6" w:rsidP="00AA4FA6">
    <w:pPr>
      <w:pBdr>
        <w:top w:val="none" w:sz="0" w:space="0" w:color="000000"/>
        <w:left w:val="nil"/>
        <w:bottom w:val="nil"/>
        <w:right w:val="nil"/>
        <w:between w:val="nil"/>
      </w:pBdr>
      <w:tabs>
        <w:tab w:val="center" w:pos="4513"/>
        <w:tab w:val="right" w:pos="9026"/>
      </w:tabs>
      <w:jc w:val="center"/>
      <w:rPr>
        <w:rFonts w:cs="Calibri"/>
        <w:i/>
        <w:color w:val="000000"/>
        <w:sz w:val="16"/>
        <w:szCs w:val="18"/>
      </w:rPr>
    </w:pPr>
    <w:r w:rsidRPr="00AA4FA6">
      <w:rPr>
        <w:rFonts w:cs="Calibri"/>
        <w:i/>
        <w:color w:val="000000"/>
        <w:sz w:val="16"/>
        <w:szCs w:val="18"/>
      </w:rPr>
      <w:t>This document was prepared for NCAD students.  It may not be reproduced in whole or part without permission from NCAD.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5ACBA" w14:textId="73BD38EE" w:rsidR="00514BED" w:rsidRDefault="00AA4FA6">
    <w:pPr>
      <w:pBdr>
        <w:top w:val="single" w:sz="4" w:space="1" w:color="4472C4"/>
        <w:left w:val="nil"/>
        <w:bottom w:val="nil"/>
        <w:right w:val="nil"/>
        <w:between w:val="nil"/>
      </w:pBdr>
      <w:tabs>
        <w:tab w:val="center" w:pos="4513"/>
        <w:tab w:val="right" w:pos="9026"/>
        <w:tab w:val="center" w:pos="4820"/>
        <w:tab w:val="right" w:pos="9638"/>
      </w:tabs>
      <w:rPr>
        <w:rFonts w:cs="Calibri"/>
        <w:i/>
        <w:color w:val="000000"/>
        <w:sz w:val="18"/>
        <w:szCs w:val="18"/>
      </w:rPr>
    </w:pPr>
    <w:r>
      <w:rPr>
        <w:i/>
        <w:sz w:val="18"/>
        <w:szCs w:val="18"/>
      </w:rPr>
      <w:t>VC3-1: Economies of Visual Culture</w:t>
    </w:r>
    <w:r w:rsidR="002C624B">
      <w:rPr>
        <w:rFonts w:cs="Calibri"/>
        <w:i/>
        <w:color w:val="000000"/>
        <w:sz w:val="18"/>
        <w:szCs w:val="18"/>
      </w:rPr>
      <w:tab/>
    </w:r>
    <w:r w:rsidR="002C624B">
      <w:rPr>
        <w:rFonts w:cs="Calibri"/>
        <w:i/>
        <w:color w:val="000000"/>
        <w:sz w:val="18"/>
        <w:szCs w:val="18"/>
      </w:rPr>
      <w:tab/>
      <w:t>Module Descriptor</w:t>
    </w:r>
  </w:p>
  <w:p w14:paraId="3A5D738C" w14:textId="6CF21137" w:rsidR="00514BED" w:rsidRDefault="00F9559A">
    <w:pPr>
      <w:pBdr>
        <w:top w:val="none" w:sz="0" w:space="0" w:color="000000"/>
      </w:pBdr>
      <w:tabs>
        <w:tab w:val="center" w:pos="4513"/>
        <w:tab w:val="right" w:pos="9026"/>
        <w:tab w:val="center" w:pos="4820"/>
        <w:tab w:val="right" w:pos="9638"/>
      </w:tabs>
      <w:rPr>
        <w:rFonts w:cs="Calibri"/>
        <w:i/>
        <w:color w:val="000000"/>
        <w:sz w:val="18"/>
        <w:szCs w:val="18"/>
      </w:rPr>
    </w:pPr>
    <w:r>
      <w:rPr>
        <w:rFonts w:cs="Calibri"/>
        <w:i/>
        <w:color w:val="000000"/>
        <w:sz w:val="18"/>
        <w:szCs w:val="18"/>
      </w:rPr>
      <w:t xml:space="preserve">Published: </w:t>
    </w:r>
    <w:r>
      <w:rPr>
        <w:i/>
        <w:sz w:val="18"/>
        <w:szCs w:val="18"/>
      </w:rPr>
      <w:t>September 2023</w:t>
    </w:r>
    <w:r w:rsidR="002C624B">
      <w:rPr>
        <w:i/>
        <w:sz w:val="18"/>
        <w:szCs w:val="18"/>
      </w:rPr>
      <w:tab/>
    </w:r>
    <w:r w:rsidR="00AA4FA6">
      <w:rPr>
        <w:rFonts w:cs="Calibri"/>
        <w:i/>
        <w:color w:val="000000"/>
        <w:sz w:val="18"/>
        <w:szCs w:val="18"/>
      </w:rPr>
      <w:t xml:space="preserve">Page </w:t>
    </w:r>
    <w:r w:rsidR="00AA4FA6">
      <w:rPr>
        <w:rFonts w:cs="Calibri"/>
        <w:i/>
        <w:color w:val="000000"/>
        <w:sz w:val="18"/>
        <w:szCs w:val="18"/>
      </w:rPr>
      <w:fldChar w:fldCharType="begin"/>
    </w:r>
    <w:r w:rsidR="00AA4FA6">
      <w:rPr>
        <w:rFonts w:cs="Calibri"/>
        <w:i/>
        <w:color w:val="000000"/>
        <w:sz w:val="18"/>
        <w:szCs w:val="18"/>
      </w:rPr>
      <w:instrText>PAGE</w:instrText>
    </w:r>
    <w:r w:rsidR="00AA4FA6">
      <w:rPr>
        <w:rFonts w:cs="Calibri"/>
        <w:i/>
        <w:color w:val="000000"/>
        <w:sz w:val="18"/>
        <w:szCs w:val="18"/>
      </w:rPr>
      <w:fldChar w:fldCharType="separate"/>
    </w:r>
    <w:r w:rsidR="00AA4FA6">
      <w:rPr>
        <w:rFonts w:cs="Calibri"/>
        <w:i/>
        <w:color w:val="000000"/>
        <w:sz w:val="18"/>
        <w:szCs w:val="18"/>
      </w:rPr>
      <w:t>1</w:t>
    </w:r>
    <w:r w:rsidR="00AA4FA6">
      <w:rPr>
        <w:rFonts w:cs="Calibri"/>
        <w:i/>
        <w:color w:val="000000"/>
        <w:sz w:val="18"/>
        <w:szCs w:val="18"/>
      </w:rPr>
      <w:fldChar w:fldCharType="end"/>
    </w:r>
    <w:r w:rsidR="00AA4FA6">
      <w:rPr>
        <w:rFonts w:cs="Calibri"/>
        <w:i/>
        <w:color w:val="000000"/>
        <w:sz w:val="18"/>
        <w:szCs w:val="18"/>
      </w:rPr>
      <w:t xml:space="preserve"> of </w:t>
    </w:r>
    <w:r w:rsidR="00AA4FA6">
      <w:rPr>
        <w:rFonts w:cs="Calibri"/>
        <w:i/>
        <w:color w:val="000000"/>
        <w:sz w:val="18"/>
        <w:szCs w:val="18"/>
      </w:rPr>
      <w:fldChar w:fldCharType="begin"/>
    </w:r>
    <w:r w:rsidR="00AA4FA6">
      <w:rPr>
        <w:rFonts w:cs="Calibri"/>
        <w:i/>
        <w:color w:val="000000"/>
        <w:sz w:val="18"/>
        <w:szCs w:val="18"/>
      </w:rPr>
      <w:instrText>NUMPAGES</w:instrText>
    </w:r>
    <w:r w:rsidR="00AA4FA6">
      <w:rPr>
        <w:rFonts w:cs="Calibri"/>
        <w:i/>
        <w:color w:val="000000"/>
        <w:sz w:val="18"/>
        <w:szCs w:val="18"/>
      </w:rPr>
      <w:fldChar w:fldCharType="separate"/>
    </w:r>
    <w:r w:rsidR="00AA4FA6">
      <w:rPr>
        <w:rFonts w:cs="Calibri"/>
        <w:i/>
        <w:color w:val="000000"/>
        <w:sz w:val="18"/>
        <w:szCs w:val="18"/>
      </w:rPr>
      <w:t>3</w:t>
    </w:r>
    <w:r w:rsidR="00AA4FA6">
      <w:rPr>
        <w:rFonts w:cs="Calibri"/>
        <w:i/>
        <w:color w:val="000000"/>
        <w:sz w:val="18"/>
        <w:szCs w:val="18"/>
      </w:rPr>
      <w:fldChar w:fldCharType="end"/>
    </w:r>
    <w:r w:rsidR="002C624B">
      <w:rPr>
        <w:i/>
        <w:sz w:val="18"/>
        <w:szCs w:val="18"/>
      </w:rPr>
      <w:tab/>
    </w:r>
  </w:p>
  <w:p w14:paraId="2E26885E" w14:textId="77777777" w:rsidR="00514BED" w:rsidRPr="00AA4FA6" w:rsidRDefault="002C624B" w:rsidP="00AA4FA6">
    <w:pPr>
      <w:pBdr>
        <w:top w:val="none" w:sz="0" w:space="0" w:color="000000"/>
        <w:left w:val="nil"/>
        <w:bottom w:val="nil"/>
        <w:right w:val="nil"/>
        <w:between w:val="nil"/>
      </w:pBdr>
      <w:tabs>
        <w:tab w:val="center" w:pos="4513"/>
        <w:tab w:val="right" w:pos="9026"/>
      </w:tabs>
      <w:jc w:val="center"/>
      <w:rPr>
        <w:rFonts w:cs="Calibri"/>
        <w:i/>
        <w:color w:val="000000"/>
        <w:sz w:val="16"/>
        <w:szCs w:val="18"/>
      </w:rPr>
    </w:pPr>
    <w:r w:rsidRPr="00AA4FA6">
      <w:rPr>
        <w:rFonts w:cs="Calibri"/>
        <w:i/>
        <w:color w:val="000000"/>
        <w:sz w:val="16"/>
        <w:szCs w:val="18"/>
      </w:rPr>
      <w:t>This document was prepared for NCAD students.  It may not be reproduced in whole or part without permission from NCAD.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A16A7" w14:textId="77777777" w:rsidR="007F0625" w:rsidRDefault="007F0625">
      <w:r>
        <w:separator/>
      </w:r>
    </w:p>
  </w:footnote>
  <w:footnote w:type="continuationSeparator" w:id="0">
    <w:p w14:paraId="69E69494" w14:textId="77777777" w:rsidR="007F0625" w:rsidRDefault="007F0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DB922" w14:textId="77777777" w:rsidR="00514BED" w:rsidRDefault="002C624B">
    <w:pPr>
      <w:pBdr>
        <w:top w:val="nil"/>
        <w:left w:val="nil"/>
        <w:bottom w:val="nil"/>
        <w:right w:val="nil"/>
        <w:between w:val="nil"/>
      </w:pBdr>
      <w:tabs>
        <w:tab w:val="center" w:pos="4513"/>
        <w:tab w:val="right" w:pos="9026"/>
      </w:tabs>
      <w:rPr>
        <w:rFonts w:cs="Calibri"/>
        <w:color w:val="000000"/>
      </w:rPr>
    </w:pPr>
    <w:r>
      <w:rPr>
        <w:rFonts w:cs="Calibri"/>
        <w:noProof/>
        <w:color w:val="000000"/>
      </w:rPr>
      <w:drawing>
        <wp:inline distT="0" distB="0" distL="0" distR="0" wp14:anchorId="4C3249C8" wp14:editId="404563A2">
          <wp:extent cx="1088136" cy="457200"/>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88136" cy="4572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0080" w14:textId="1FDC7F96" w:rsidR="00514BED" w:rsidRDefault="00AA4FA6">
    <w:pPr>
      <w:pBdr>
        <w:top w:val="nil"/>
        <w:left w:val="nil"/>
        <w:bottom w:val="nil"/>
        <w:right w:val="nil"/>
        <w:between w:val="nil"/>
      </w:pBdr>
      <w:tabs>
        <w:tab w:val="center" w:pos="4513"/>
        <w:tab w:val="right" w:pos="9026"/>
      </w:tabs>
      <w:jc w:val="right"/>
      <w:rPr>
        <w:rFonts w:cs="Calibri"/>
        <w:color w:val="000000"/>
      </w:rPr>
    </w:pPr>
    <w:r>
      <w:rPr>
        <w:rFonts w:cs="Calibri"/>
        <w:noProof/>
        <w:color w:val="000000"/>
      </w:rPr>
      <w:drawing>
        <wp:inline distT="0" distB="0" distL="0" distR="0" wp14:anchorId="6917626D" wp14:editId="21DF9935">
          <wp:extent cx="900000" cy="39526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_NCAD_Logo Pg 1 HEADER.jpg"/>
                  <pic:cNvPicPr/>
                </pic:nvPicPr>
                <pic:blipFill>
                  <a:blip r:embed="rId1">
                    <a:extLst>
                      <a:ext uri="{28A0092B-C50C-407E-A947-70E740481C1C}">
                        <a14:useLocalDpi xmlns:a14="http://schemas.microsoft.com/office/drawing/2010/main" val="0"/>
                      </a:ext>
                    </a:extLst>
                  </a:blip>
                  <a:stretch>
                    <a:fillRect/>
                  </a:stretch>
                </pic:blipFill>
                <pic:spPr>
                  <a:xfrm>
                    <a:off x="0" y="0"/>
                    <a:ext cx="900000" cy="3952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EBD76" w14:textId="772850D8" w:rsidR="00514BED" w:rsidRDefault="00AA4FA6">
    <w:pPr>
      <w:pBdr>
        <w:top w:val="nil"/>
        <w:left w:val="nil"/>
        <w:bottom w:val="nil"/>
        <w:right w:val="nil"/>
        <w:between w:val="nil"/>
      </w:pBdr>
      <w:tabs>
        <w:tab w:val="center" w:pos="4513"/>
        <w:tab w:val="right" w:pos="9026"/>
        <w:tab w:val="right" w:pos="13892"/>
      </w:tabs>
      <w:jc w:val="right"/>
      <w:rPr>
        <w:rFonts w:cs="Calibri"/>
        <w:color w:val="000000"/>
      </w:rPr>
    </w:pPr>
    <w:r>
      <w:rPr>
        <w:rFonts w:cs="Calibri"/>
        <w:noProof/>
        <w:color w:val="000000"/>
      </w:rPr>
      <w:drawing>
        <wp:inline distT="0" distB="0" distL="0" distR="0" wp14:anchorId="60B253FF" wp14:editId="73FE0021">
          <wp:extent cx="1080000" cy="474323"/>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_NCAD_Logo Pg 1 HEADER.jpg"/>
                  <pic:cNvPicPr/>
                </pic:nvPicPr>
                <pic:blipFill>
                  <a:blip r:embed="rId1">
                    <a:extLst>
                      <a:ext uri="{28A0092B-C50C-407E-A947-70E740481C1C}">
                        <a14:useLocalDpi xmlns:a14="http://schemas.microsoft.com/office/drawing/2010/main" val="0"/>
                      </a:ext>
                    </a:extLst>
                  </a:blip>
                  <a:stretch>
                    <a:fillRect/>
                  </a:stretch>
                </pic:blipFill>
                <pic:spPr>
                  <a:xfrm>
                    <a:off x="0" y="0"/>
                    <a:ext cx="1080000" cy="4743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50C4"/>
    <w:multiLevelType w:val="multilevel"/>
    <w:tmpl w:val="853CF96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653279"/>
    <w:multiLevelType w:val="multilevel"/>
    <w:tmpl w:val="308E2860"/>
    <w:lvl w:ilvl="0">
      <w:start w:val="1"/>
      <w:numFmt w:val="decimal"/>
      <w:lvlText w:val="%1."/>
      <w:lvlJc w:val="left"/>
      <w:pPr>
        <w:ind w:left="720" w:hanging="360"/>
      </w:pPr>
      <w:rPr>
        <w:rFonts w:ascii="Calibri" w:eastAsia="Calibri" w:hAnsi="Calibri" w:cs="Calibri"/>
        <w:b w:val="0"/>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694E93"/>
    <w:multiLevelType w:val="hybridMultilevel"/>
    <w:tmpl w:val="14AC53F4"/>
    <w:lvl w:ilvl="0" w:tplc="251AC616">
      <w:start w:val="1"/>
      <w:numFmt w:val="bullet"/>
      <w:pStyle w:val="Bullets"/>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3" w15:restartNumberingAfterBreak="0">
    <w:nsid w:val="37AA4676"/>
    <w:multiLevelType w:val="multilevel"/>
    <w:tmpl w:val="B1F8F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3643E7"/>
    <w:multiLevelType w:val="hybridMultilevel"/>
    <w:tmpl w:val="8708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446A1"/>
    <w:multiLevelType w:val="hybridMultilevel"/>
    <w:tmpl w:val="66983102"/>
    <w:lvl w:ilvl="0" w:tplc="7B1C55A0">
      <w:start w:val="1"/>
      <w:numFmt w:val="decimal"/>
      <w:pStyle w:val="Heading2"/>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9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BED"/>
    <w:rsid w:val="00043A26"/>
    <w:rsid w:val="000B360D"/>
    <w:rsid w:val="002C624B"/>
    <w:rsid w:val="00374592"/>
    <w:rsid w:val="003F7740"/>
    <w:rsid w:val="00514BED"/>
    <w:rsid w:val="00567AD4"/>
    <w:rsid w:val="00676057"/>
    <w:rsid w:val="006C2B2A"/>
    <w:rsid w:val="007458E7"/>
    <w:rsid w:val="007F0625"/>
    <w:rsid w:val="00813010"/>
    <w:rsid w:val="008A4180"/>
    <w:rsid w:val="009D66A0"/>
    <w:rsid w:val="00AA4FA6"/>
    <w:rsid w:val="00AE1503"/>
    <w:rsid w:val="00CE31B3"/>
    <w:rsid w:val="00F76374"/>
    <w:rsid w:val="00F955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AB213"/>
  <w15:docId w15:val="{F2FBC274-3234-F244-BFC2-D673D7B8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180"/>
    <w:rPr>
      <w:rFonts w:cs="Times New Roman"/>
    </w:rPr>
  </w:style>
  <w:style w:type="paragraph" w:styleId="Heading1">
    <w:name w:val="heading 1"/>
    <w:basedOn w:val="Normal"/>
    <w:next w:val="Normal"/>
    <w:link w:val="Heading1Char"/>
    <w:uiPriority w:val="9"/>
    <w:qFormat/>
    <w:rsid w:val="00AA4FA6"/>
    <w:pPr>
      <w:jc w:val="center"/>
      <w:outlineLvl w:val="0"/>
    </w:pPr>
    <w:rPr>
      <w:rFonts w:eastAsia="Times New Roman" w:cs="Times"/>
      <w:b/>
      <w:color w:val="1F4E79" w:themeColor="accent5" w:themeShade="80"/>
      <w:sz w:val="36"/>
    </w:rPr>
  </w:style>
  <w:style w:type="paragraph" w:styleId="Heading2">
    <w:name w:val="heading 2"/>
    <w:basedOn w:val="NoSpacing"/>
    <w:next w:val="Normal"/>
    <w:link w:val="Heading2Char"/>
    <w:uiPriority w:val="9"/>
    <w:unhideWhenUsed/>
    <w:qFormat/>
    <w:rsid w:val="00AA4FA6"/>
    <w:pPr>
      <w:keepNext/>
      <w:keepLines/>
      <w:numPr>
        <w:numId w:val="4"/>
      </w:numPr>
      <w:pBdr>
        <w:bottom w:val="single" w:sz="8" w:space="1" w:color="2E74B5" w:themeColor="accent5" w:themeShade="BF"/>
      </w:pBdr>
      <w:spacing w:before="360" w:after="120"/>
      <w:ind w:left="454" w:hanging="454"/>
      <w:outlineLvl w:val="1"/>
    </w:pPr>
    <w:rPr>
      <w:rFonts w:asciiTheme="minorHAnsi" w:eastAsiaTheme="majorEastAsia" w:hAnsiTheme="minorHAnsi" w:cstheme="minorHAnsi"/>
      <w:color w:val="1F4E79" w:themeColor="accent5" w:themeShade="80"/>
      <w:sz w:val="28"/>
      <w:szCs w:val="26"/>
    </w:rPr>
  </w:style>
  <w:style w:type="paragraph" w:styleId="Heading3">
    <w:name w:val="heading 3"/>
    <w:basedOn w:val="Heading4"/>
    <w:next w:val="Normal"/>
    <w:link w:val="Heading3Char"/>
    <w:uiPriority w:val="9"/>
    <w:unhideWhenUsed/>
    <w:qFormat/>
    <w:rsid w:val="00AA4FA6"/>
    <w:pPr>
      <w:keepNext/>
      <w:spacing w:before="240" w:after="120"/>
      <w:outlineLvl w:val="2"/>
    </w:pPr>
    <w:rPr>
      <w:sz w:val="24"/>
    </w:rPr>
  </w:style>
  <w:style w:type="paragraph" w:styleId="Heading4">
    <w:name w:val="heading 4"/>
    <w:basedOn w:val="Normal"/>
    <w:next w:val="Normal"/>
    <w:link w:val="Heading4Char"/>
    <w:uiPriority w:val="9"/>
    <w:unhideWhenUsed/>
    <w:rsid w:val="00812BAC"/>
    <w:pPr>
      <w:outlineLvl w:val="3"/>
    </w:pPr>
    <w:rPr>
      <w:rFonts w:asciiTheme="minorHAnsi" w:hAnsiTheme="minorHAnsi" w:cstheme="minorHAnsi"/>
      <w:b/>
      <w:color w:val="1F4E79" w:themeColor="accent5" w:themeShade="80"/>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before="480" w:after="120"/>
    </w:pPr>
    <w:rPr>
      <w:b/>
      <w:sz w:val="72"/>
      <w:szCs w:val="72"/>
    </w:rPr>
  </w:style>
  <w:style w:type="character" w:customStyle="1" w:styleId="Heading2Char">
    <w:name w:val="Heading 2 Char"/>
    <w:basedOn w:val="DefaultParagraphFont"/>
    <w:link w:val="Heading2"/>
    <w:uiPriority w:val="9"/>
    <w:rsid w:val="00AA4FA6"/>
    <w:rPr>
      <w:rFonts w:asciiTheme="minorHAnsi" w:eastAsiaTheme="majorEastAsia" w:hAnsiTheme="minorHAnsi" w:cstheme="minorHAnsi"/>
      <w:color w:val="1F4E79" w:themeColor="accent5" w:themeShade="80"/>
      <w:sz w:val="28"/>
      <w:szCs w:val="26"/>
    </w:rPr>
  </w:style>
  <w:style w:type="character" w:customStyle="1" w:styleId="Heading3Char">
    <w:name w:val="Heading 3 Char"/>
    <w:basedOn w:val="DefaultParagraphFont"/>
    <w:link w:val="Heading3"/>
    <w:uiPriority w:val="9"/>
    <w:rsid w:val="00AA4FA6"/>
    <w:rPr>
      <w:rFonts w:asciiTheme="minorHAnsi" w:hAnsiTheme="minorHAnsi" w:cstheme="minorHAnsi"/>
      <w:b/>
      <w:color w:val="1F4E79" w:themeColor="accent5" w:themeShade="80"/>
      <w:sz w:val="24"/>
    </w:rPr>
  </w:style>
  <w:style w:type="character" w:customStyle="1" w:styleId="Heading4Char">
    <w:name w:val="Heading 4 Char"/>
    <w:basedOn w:val="DefaultParagraphFont"/>
    <w:link w:val="Heading4"/>
    <w:uiPriority w:val="9"/>
    <w:rsid w:val="00812BAC"/>
    <w:rPr>
      <w:rFonts w:eastAsia="Calibri" w:cstheme="minorHAnsi"/>
      <w:b/>
      <w:color w:val="1F4E79" w:themeColor="accent5" w:themeShade="80"/>
      <w:sz w:val="22"/>
      <w:szCs w:val="22"/>
      <w:lang w:val="en-IE"/>
    </w:rPr>
  </w:style>
  <w:style w:type="paragraph" w:styleId="NoSpacing">
    <w:name w:val="No Spacing"/>
    <w:basedOn w:val="Normal"/>
    <w:uiPriority w:val="99"/>
    <w:qFormat/>
    <w:rsid w:val="00812BAC"/>
    <w:rPr>
      <w:sz w:val="20"/>
    </w:rPr>
  </w:style>
  <w:style w:type="paragraph" w:styleId="Header">
    <w:name w:val="header"/>
    <w:basedOn w:val="Normal"/>
    <w:link w:val="HeaderChar"/>
    <w:uiPriority w:val="99"/>
    <w:rsid w:val="00812BAC"/>
    <w:pPr>
      <w:tabs>
        <w:tab w:val="center" w:pos="4513"/>
        <w:tab w:val="right" w:pos="9026"/>
      </w:tabs>
    </w:pPr>
  </w:style>
  <w:style w:type="character" w:customStyle="1" w:styleId="HeaderChar">
    <w:name w:val="Header Char"/>
    <w:basedOn w:val="DefaultParagraphFont"/>
    <w:link w:val="Header"/>
    <w:uiPriority w:val="99"/>
    <w:rsid w:val="00812BAC"/>
    <w:rPr>
      <w:rFonts w:ascii="Calibri" w:eastAsia="Calibri" w:hAnsi="Calibri" w:cs="Times New Roman"/>
      <w:sz w:val="22"/>
      <w:lang w:val="en-IE"/>
    </w:rPr>
  </w:style>
  <w:style w:type="paragraph" w:styleId="Footer">
    <w:name w:val="footer"/>
    <w:basedOn w:val="Normal"/>
    <w:link w:val="FooterChar"/>
    <w:uiPriority w:val="99"/>
    <w:rsid w:val="00812BAC"/>
    <w:pPr>
      <w:pBdr>
        <w:top w:val="single" w:sz="4" w:space="1" w:color="auto"/>
      </w:pBdr>
      <w:tabs>
        <w:tab w:val="center" w:pos="4513"/>
        <w:tab w:val="right" w:pos="9026"/>
      </w:tabs>
    </w:pPr>
    <w:rPr>
      <w:i/>
      <w:sz w:val="18"/>
    </w:rPr>
  </w:style>
  <w:style w:type="character" w:customStyle="1" w:styleId="FooterChar">
    <w:name w:val="Footer Char"/>
    <w:basedOn w:val="DefaultParagraphFont"/>
    <w:link w:val="Footer"/>
    <w:uiPriority w:val="99"/>
    <w:rsid w:val="00812BAC"/>
    <w:rPr>
      <w:rFonts w:ascii="Calibri" w:eastAsia="Calibri" w:hAnsi="Calibri" w:cs="Times New Roman"/>
      <w:i/>
      <w:sz w:val="18"/>
      <w:lang w:val="en-IE"/>
    </w:rPr>
  </w:style>
  <w:style w:type="character" w:styleId="CommentReference">
    <w:name w:val="annotation reference"/>
    <w:basedOn w:val="DefaultParagraphFont"/>
    <w:uiPriority w:val="99"/>
    <w:semiHidden/>
    <w:unhideWhenUsed/>
    <w:rsid w:val="00812BAC"/>
    <w:rPr>
      <w:sz w:val="16"/>
      <w:szCs w:val="16"/>
    </w:rPr>
  </w:style>
  <w:style w:type="paragraph" w:styleId="CommentText">
    <w:name w:val="annotation text"/>
    <w:basedOn w:val="Normal"/>
    <w:link w:val="CommentTextChar"/>
    <w:uiPriority w:val="99"/>
    <w:unhideWhenUsed/>
    <w:rsid w:val="00812BAC"/>
    <w:rPr>
      <w:sz w:val="20"/>
      <w:szCs w:val="20"/>
    </w:rPr>
  </w:style>
  <w:style w:type="character" w:customStyle="1" w:styleId="CommentTextChar">
    <w:name w:val="Comment Text Char"/>
    <w:basedOn w:val="DefaultParagraphFont"/>
    <w:link w:val="CommentText"/>
    <w:uiPriority w:val="99"/>
    <w:rsid w:val="00812BAC"/>
    <w:rPr>
      <w:rFonts w:ascii="Calibri" w:eastAsia="Calibri" w:hAnsi="Calibri" w:cs="Times New Roman"/>
      <w:sz w:val="20"/>
      <w:szCs w:val="20"/>
      <w:lang w:val="en-IE"/>
    </w:rPr>
  </w:style>
  <w:style w:type="paragraph" w:styleId="ListParagraph">
    <w:name w:val="List Paragraph"/>
    <w:basedOn w:val="Normal"/>
    <w:link w:val="ListParagraphChar"/>
    <w:uiPriority w:val="99"/>
    <w:qFormat/>
    <w:rsid w:val="00AA4FA6"/>
    <w:pPr>
      <w:spacing w:after="120" w:line="276" w:lineRule="auto"/>
    </w:pPr>
  </w:style>
  <w:style w:type="paragraph" w:styleId="FootnoteText">
    <w:name w:val="footnote text"/>
    <w:basedOn w:val="Normal"/>
    <w:link w:val="FootnoteTextChar"/>
    <w:uiPriority w:val="99"/>
    <w:semiHidden/>
    <w:unhideWhenUsed/>
    <w:rsid w:val="00812BAC"/>
    <w:rPr>
      <w:sz w:val="20"/>
      <w:szCs w:val="20"/>
    </w:rPr>
  </w:style>
  <w:style w:type="character" w:customStyle="1" w:styleId="FootnoteTextChar">
    <w:name w:val="Footnote Text Char"/>
    <w:basedOn w:val="DefaultParagraphFont"/>
    <w:link w:val="FootnoteText"/>
    <w:uiPriority w:val="99"/>
    <w:semiHidden/>
    <w:rsid w:val="00812BAC"/>
    <w:rPr>
      <w:rFonts w:ascii="Calibri" w:eastAsia="Calibri" w:hAnsi="Calibri" w:cs="Times New Roman"/>
      <w:sz w:val="20"/>
      <w:szCs w:val="20"/>
      <w:lang w:val="en-IE"/>
    </w:rPr>
  </w:style>
  <w:style w:type="character" w:styleId="FootnoteReference">
    <w:name w:val="footnote reference"/>
    <w:basedOn w:val="DefaultParagraphFont"/>
    <w:uiPriority w:val="99"/>
    <w:semiHidden/>
    <w:unhideWhenUsed/>
    <w:rsid w:val="00812BAC"/>
    <w:rPr>
      <w:vertAlign w:val="superscript"/>
    </w:rPr>
  </w:style>
  <w:style w:type="paragraph" w:customStyle="1" w:styleId="MediumGrid21">
    <w:name w:val="Medium Grid 21"/>
    <w:uiPriority w:val="99"/>
    <w:semiHidden/>
    <w:qFormat/>
    <w:rsid w:val="00812BAC"/>
    <w:rPr>
      <w:rFonts w:ascii="Cambria" w:eastAsia="Times New Roman" w:hAnsi="Cambria" w:cs="Times New Roman"/>
    </w:rPr>
  </w:style>
  <w:style w:type="table" w:styleId="GridTable2-Accent5">
    <w:name w:val="Grid Table 2 Accent 5"/>
    <w:basedOn w:val="TableNormal"/>
    <w:uiPriority w:val="47"/>
    <w:rsid w:val="00812BAC"/>
    <w:rPr>
      <w:rFonts w:ascii="Arial" w:hAnsi="Arial" w:cs="Arial"/>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ullets">
    <w:name w:val="Bullets"/>
    <w:basedOn w:val="ListParagraph"/>
    <w:link w:val="BulletsChar"/>
    <w:qFormat/>
    <w:rsid w:val="008A4180"/>
    <w:pPr>
      <w:numPr>
        <w:numId w:val="5"/>
      </w:numPr>
      <w:spacing w:before="120" w:after="0"/>
      <w:ind w:left="714" w:hanging="357"/>
    </w:pPr>
  </w:style>
  <w:style w:type="character" w:customStyle="1" w:styleId="ListParagraphChar">
    <w:name w:val="List Paragraph Char"/>
    <w:basedOn w:val="DefaultParagraphFont"/>
    <w:link w:val="ListParagraph"/>
    <w:uiPriority w:val="99"/>
    <w:rsid w:val="00AA4FA6"/>
    <w:rPr>
      <w:rFonts w:cs="Times New Roman"/>
    </w:rPr>
  </w:style>
  <w:style w:type="character" w:customStyle="1" w:styleId="BulletsChar">
    <w:name w:val="Bullets Char"/>
    <w:basedOn w:val="ListParagraphChar"/>
    <w:link w:val="Bullets"/>
    <w:rsid w:val="008A4180"/>
    <w:rPr>
      <w:rFonts w:cs="Times New Roman"/>
    </w:rPr>
  </w:style>
  <w:style w:type="character" w:styleId="Hyperlink">
    <w:name w:val="Hyperlink"/>
    <w:basedOn w:val="DefaultParagraphFont"/>
    <w:uiPriority w:val="99"/>
    <w:unhideWhenUsed/>
    <w:rsid w:val="00DC5856"/>
    <w:rPr>
      <w:color w:val="0563C1" w:themeColor="hyperlink"/>
      <w:u w:val="single"/>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4">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5">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6">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character" w:customStyle="1" w:styleId="Heading1Char">
    <w:name w:val="Heading 1 Char"/>
    <w:basedOn w:val="DefaultParagraphFont"/>
    <w:link w:val="Heading1"/>
    <w:uiPriority w:val="9"/>
    <w:rsid w:val="00AA4FA6"/>
    <w:rPr>
      <w:rFonts w:eastAsia="Times New Roman" w:cs="Times"/>
      <w:b/>
      <w:color w:val="1F4E79" w:themeColor="accent5" w:themeShade="80"/>
      <w:sz w:val="36"/>
    </w:rPr>
  </w:style>
  <w:style w:type="paragraph" w:customStyle="1" w:styleId="Numbers">
    <w:name w:val="Numbers"/>
    <w:basedOn w:val="ListParagraph"/>
    <w:link w:val="NumbersChar"/>
    <w:qFormat/>
    <w:rsid w:val="00AA4FA6"/>
    <w:pPr>
      <w:spacing w:before="120" w:after="0"/>
      <w:ind w:left="714" w:hanging="357"/>
    </w:pPr>
    <w:rPr>
      <w:szCs w:val="24"/>
    </w:rPr>
  </w:style>
  <w:style w:type="character" w:customStyle="1" w:styleId="NumbersChar">
    <w:name w:val="Numbers Char"/>
    <w:basedOn w:val="ListParagraphChar"/>
    <w:link w:val="Numbers"/>
    <w:rsid w:val="00AA4FA6"/>
    <w:rPr>
      <w:rFonts w:cs="Times New Roman"/>
      <w:szCs w:val="24"/>
    </w:rPr>
  </w:style>
  <w:style w:type="table" w:styleId="GridTable2-Accent1">
    <w:name w:val="Grid Table 2 Accent 1"/>
    <w:basedOn w:val="TableNormal"/>
    <w:uiPriority w:val="47"/>
    <w:rsid w:val="008A4180"/>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8A4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ad.ie/files/download/NCAD_Grade_Descriptor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X/15b4SeYopWQ6iMxu7ni+DIA==">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6447</Characters>
  <Application>Microsoft Office Word</Application>
  <DocSecurity>2</DocSecurity>
  <Lines>53</Lines>
  <Paragraphs>15</Paragraphs>
  <ScaleCrop>false</ScaleCrop>
  <HeadingPairs>
    <vt:vector size="2" baseType="variant">
      <vt:variant>
        <vt:lpstr>Title</vt:lpstr>
      </vt:variant>
      <vt:variant>
        <vt:i4>1</vt:i4>
      </vt:variant>
    </vt:vector>
  </HeadingPairs>
  <TitlesOfParts>
    <vt:vector size="1" baseType="lpstr">
      <vt:lpstr>VC3-1 Economies of Visual Culture ModDesc</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VC3-1 Economies of Visual Culture ModDesc</dc:title>
  <dc:creator>David Crowley;Kilian O'Callaghan</dc:creator>
  <cp:keywords>2022;Module Descriptor;Visual Culture</cp:keywords>
  <cp:lastModifiedBy>Microsoft Office User</cp:lastModifiedBy>
  <cp:revision>3</cp:revision>
  <cp:lastPrinted>2022-10-25T22:39:00Z</cp:lastPrinted>
  <dcterms:created xsi:type="dcterms:W3CDTF">2023-10-15T12:43:00Z</dcterms:created>
  <dcterms:modified xsi:type="dcterms:W3CDTF">2023-10-15T12:43:00Z</dcterms:modified>
</cp:coreProperties>
</file>