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A9CD6" w14:textId="77777777" w:rsidR="00A73FE2" w:rsidRPr="00C94E1E" w:rsidRDefault="00107222" w:rsidP="00C94E1E">
      <w:pPr>
        <w:pStyle w:val="Heading1"/>
        <w:keepNext w:val="0"/>
        <w:keepLines w:val="0"/>
        <w:spacing w:before="0" w:after="0"/>
        <w:jc w:val="center"/>
        <w:rPr>
          <w:rFonts w:eastAsia="Times New Roman" w:cs="Times"/>
          <w:color w:val="1F4E79" w:themeColor="accent5" w:themeShade="80"/>
          <w:sz w:val="36"/>
          <w:szCs w:val="22"/>
        </w:rPr>
      </w:pPr>
      <w:r w:rsidRPr="00C94E1E">
        <w:rPr>
          <w:rFonts w:eastAsia="Times New Roman" w:cs="Times"/>
          <w:color w:val="1F4E79" w:themeColor="accent5" w:themeShade="80"/>
          <w:sz w:val="36"/>
          <w:szCs w:val="22"/>
        </w:rPr>
        <w:t>Understanding Digital Culture</w:t>
      </w:r>
    </w:p>
    <w:p w14:paraId="351FBE52" w14:textId="77777777" w:rsidR="00A73FE2" w:rsidRPr="00C94E1E" w:rsidRDefault="00107222" w:rsidP="00C94E1E">
      <w:pPr>
        <w:pStyle w:val="Heading1"/>
        <w:keepNext w:val="0"/>
        <w:keepLines w:val="0"/>
        <w:spacing w:before="0" w:after="0"/>
        <w:jc w:val="center"/>
        <w:rPr>
          <w:rFonts w:eastAsia="Times New Roman" w:cs="Times"/>
          <w:color w:val="1F4E79" w:themeColor="accent5" w:themeShade="80"/>
          <w:sz w:val="32"/>
          <w:szCs w:val="22"/>
        </w:rPr>
      </w:pPr>
      <w:r w:rsidRPr="00C94E1E">
        <w:rPr>
          <w:rFonts w:eastAsia="Times New Roman" w:cs="Times"/>
          <w:color w:val="1F4E79" w:themeColor="accent5" w:themeShade="80"/>
          <w:sz w:val="32"/>
          <w:szCs w:val="22"/>
        </w:rPr>
        <w:t>VC2-6</w:t>
      </w:r>
    </w:p>
    <w:p w14:paraId="1DD51DF1" w14:textId="77777777" w:rsidR="00A73FE2" w:rsidRPr="00C94E1E" w:rsidRDefault="00A73FE2" w:rsidP="00C94E1E"/>
    <w:p w14:paraId="13EA6B57" w14:textId="77777777" w:rsidR="00A73FE2" w:rsidRPr="00C94E1E" w:rsidRDefault="00107222" w:rsidP="00C94E1E">
      <w:pPr>
        <w:pStyle w:val="Heading1"/>
        <w:keepNext w:val="0"/>
        <w:keepLines w:val="0"/>
        <w:spacing w:before="0" w:after="0"/>
        <w:jc w:val="center"/>
        <w:rPr>
          <w:rFonts w:eastAsia="Times New Roman" w:cs="Times"/>
          <w:color w:val="1F4E79" w:themeColor="accent5" w:themeShade="80"/>
          <w:sz w:val="36"/>
          <w:szCs w:val="22"/>
        </w:rPr>
      </w:pPr>
      <w:r w:rsidRPr="00C94E1E">
        <w:rPr>
          <w:rFonts w:eastAsia="Times New Roman" w:cs="Times"/>
          <w:color w:val="1F4E79" w:themeColor="accent5" w:themeShade="80"/>
          <w:sz w:val="36"/>
          <w:szCs w:val="22"/>
        </w:rPr>
        <w:t>MODULE DESCRIPTOR</w:t>
      </w:r>
    </w:p>
    <w:p w14:paraId="23249258" w14:textId="77777777" w:rsidR="00A73FE2" w:rsidRPr="00AD42C3" w:rsidRDefault="00A73FE2" w:rsidP="00C94E1E"/>
    <w:tbl>
      <w:tblPr>
        <w:tblStyle w:val="8"/>
        <w:tblW w:w="9027" w:type="dxa"/>
        <w:tblBorders>
          <w:top w:val="single" w:sz="4" w:space="0" w:color="9CC3E5"/>
          <w:bottom w:val="single" w:sz="4" w:space="0" w:color="9CC3E5"/>
          <w:insideH w:val="single" w:sz="4" w:space="0" w:color="9CC3E5"/>
          <w:insideV w:val="single" w:sz="4" w:space="0" w:color="9CC3E5"/>
        </w:tblBorders>
        <w:tblLayout w:type="fixed"/>
        <w:tblLook w:val="0200" w:firstRow="0" w:lastRow="0" w:firstColumn="0" w:lastColumn="0" w:noHBand="1" w:noVBand="0"/>
      </w:tblPr>
      <w:tblGrid>
        <w:gridCol w:w="1590"/>
        <w:gridCol w:w="915"/>
        <w:gridCol w:w="2357"/>
        <w:gridCol w:w="4165"/>
      </w:tblGrid>
      <w:tr w:rsidR="00A73FE2" w:rsidRPr="00C94E1E" w14:paraId="7037E69B" w14:textId="77777777" w:rsidTr="00C94E1E">
        <w:trPr>
          <w:trHeight w:val="340"/>
        </w:trPr>
        <w:tc>
          <w:tcPr>
            <w:cnfStyle w:val="000010000000" w:firstRow="0" w:lastRow="0" w:firstColumn="0" w:lastColumn="0" w:oddVBand="1" w:evenVBand="0" w:oddHBand="0" w:evenHBand="0" w:firstRowFirstColumn="0" w:firstRowLastColumn="0" w:lastRowFirstColumn="0" w:lastRowLastColumn="0"/>
            <w:tcW w:w="1590" w:type="dxa"/>
          </w:tcPr>
          <w:p w14:paraId="4D0EF41D" w14:textId="7A654BD5" w:rsidR="00AD42C3" w:rsidRPr="000E59B6" w:rsidRDefault="00107222" w:rsidP="00C94E1E">
            <w:pPr>
              <w:pStyle w:val="Heading4"/>
              <w:outlineLvl w:val="3"/>
            </w:pPr>
            <w:r w:rsidRPr="000E59B6">
              <w:t>ECTS credits</w:t>
            </w:r>
            <w:r w:rsidR="00010674" w:rsidRPr="000E59B6">
              <w:rPr>
                <w:vertAlign w:val="superscript"/>
              </w:rPr>
              <w:footnoteReference w:id="1"/>
            </w:r>
          </w:p>
        </w:tc>
        <w:tc>
          <w:tcPr>
            <w:tcW w:w="915" w:type="dxa"/>
          </w:tcPr>
          <w:p w14:paraId="51B7D493" w14:textId="77777777" w:rsidR="00A73FE2" w:rsidRPr="00C94E1E" w:rsidRDefault="00107222" w:rsidP="00C94E1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94E1E">
              <w:rPr>
                <w:rFonts w:ascii="Calibri" w:hAnsi="Calibri" w:cs="Calibri"/>
              </w:rPr>
              <w:t>10</w:t>
            </w:r>
          </w:p>
        </w:tc>
        <w:tc>
          <w:tcPr>
            <w:cnfStyle w:val="000010000000" w:firstRow="0" w:lastRow="0" w:firstColumn="0" w:lastColumn="0" w:oddVBand="1" w:evenVBand="0" w:oddHBand="0" w:evenHBand="0" w:firstRowFirstColumn="0" w:firstRowLastColumn="0" w:lastRowFirstColumn="0" w:lastRowLastColumn="0"/>
            <w:tcW w:w="2357" w:type="dxa"/>
          </w:tcPr>
          <w:p w14:paraId="1462F5A7" w14:textId="77777777" w:rsidR="00A73FE2" w:rsidRPr="000E59B6" w:rsidRDefault="00107222" w:rsidP="00C94E1E">
            <w:pPr>
              <w:pStyle w:val="Heading4"/>
              <w:outlineLvl w:val="3"/>
            </w:pPr>
            <w:r w:rsidRPr="000E59B6">
              <w:t>Programme</w:t>
            </w:r>
          </w:p>
        </w:tc>
        <w:tc>
          <w:tcPr>
            <w:tcW w:w="4165" w:type="dxa"/>
          </w:tcPr>
          <w:p w14:paraId="3376D0E0" w14:textId="33995748" w:rsidR="00A73FE2" w:rsidRPr="00C94E1E" w:rsidRDefault="00107222" w:rsidP="00C94E1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94E1E">
              <w:rPr>
                <w:rFonts w:ascii="Calibri" w:hAnsi="Calibri" w:cs="Calibri"/>
              </w:rPr>
              <w:t>BA Visual Culture</w:t>
            </w:r>
          </w:p>
        </w:tc>
      </w:tr>
      <w:tr w:rsidR="00A73FE2" w:rsidRPr="00C94E1E" w14:paraId="51805BDA" w14:textId="77777777" w:rsidTr="00C94E1E">
        <w:trPr>
          <w:trHeight w:val="340"/>
        </w:trPr>
        <w:tc>
          <w:tcPr>
            <w:cnfStyle w:val="000010000000" w:firstRow="0" w:lastRow="0" w:firstColumn="0" w:lastColumn="0" w:oddVBand="1" w:evenVBand="0" w:oddHBand="0" w:evenHBand="0" w:firstRowFirstColumn="0" w:firstRowLastColumn="0" w:lastRowFirstColumn="0" w:lastRowLastColumn="0"/>
            <w:tcW w:w="1590" w:type="dxa"/>
          </w:tcPr>
          <w:p w14:paraId="2B96C238" w14:textId="77777777" w:rsidR="00A73FE2" w:rsidRPr="000E59B6" w:rsidRDefault="00107222" w:rsidP="00C94E1E">
            <w:pPr>
              <w:pStyle w:val="Heading4"/>
              <w:outlineLvl w:val="3"/>
            </w:pPr>
            <w:r w:rsidRPr="000E59B6">
              <w:t>NQF level</w:t>
            </w:r>
          </w:p>
        </w:tc>
        <w:tc>
          <w:tcPr>
            <w:tcW w:w="915" w:type="dxa"/>
          </w:tcPr>
          <w:p w14:paraId="51A5A633" w14:textId="77777777" w:rsidR="00A73FE2" w:rsidRPr="00C94E1E" w:rsidRDefault="00107222" w:rsidP="00C94E1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94E1E">
              <w:rPr>
                <w:rFonts w:ascii="Calibri" w:hAnsi="Calibri" w:cs="Calibri"/>
              </w:rPr>
              <w:t>8</w:t>
            </w:r>
          </w:p>
        </w:tc>
        <w:tc>
          <w:tcPr>
            <w:cnfStyle w:val="000010000000" w:firstRow="0" w:lastRow="0" w:firstColumn="0" w:lastColumn="0" w:oddVBand="1" w:evenVBand="0" w:oddHBand="0" w:evenHBand="0" w:firstRowFirstColumn="0" w:firstRowLastColumn="0" w:lastRowFirstColumn="0" w:lastRowLastColumn="0"/>
            <w:tcW w:w="2357" w:type="dxa"/>
          </w:tcPr>
          <w:p w14:paraId="5AE5D3C8" w14:textId="77777777" w:rsidR="00A73FE2" w:rsidRPr="000E59B6" w:rsidRDefault="00107222" w:rsidP="00C94E1E">
            <w:pPr>
              <w:pStyle w:val="Heading4"/>
              <w:outlineLvl w:val="3"/>
            </w:pPr>
            <w:r w:rsidRPr="000E59B6">
              <w:t>School</w:t>
            </w:r>
          </w:p>
        </w:tc>
        <w:tc>
          <w:tcPr>
            <w:tcW w:w="4165" w:type="dxa"/>
          </w:tcPr>
          <w:p w14:paraId="3DFA9704" w14:textId="77777777" w:rsidR="00A73FE2" w:rsidRPr="00C94E1E" w:rsidRDefault="00107222" w:rsidP="00C94E1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94E1E">
              <w:rPr>
                <w:rFonts w:ascii="Calibri" w:hAnsi="Calibri" w:cs="Calibri"/>
              </w:rPr>
              <w:t>School of Visual Culture</w:t>
            </w:r>
          </w:p>
        </w:tc>
      </w:tr>
      <w:tr w:rsidR="00A73FE2" w:rsidRPr="00C94E1E" w14:paraId="7CEAD280" w14:textId="77777777" w:rsidTr="00C94E1E">
        <w:trPr>
          <w:trHeight w:val="340"/>
        </w:trPr>
        <w:tc>
          <w:tcPr>
            <w:cnfStyle w:val="000010000000" w:firstRow="0" w:lastRow="0" w:firstColumn="0" w:lastColumn="0" w:oddVBand="1" w:evenVBand="0" w:oddHBand="0" w:evenHBand="0" w:firstRowFirstColumn="0" w:firstRowLastColumn="0" w:lastRowFirstColumn="0" w:lastRowLastColumn="0"/>
            <w:tcW w:w="1590" w:type="dxa"/>
          </w:tcPr>
          <w:p w14:paraId="4450AD83" w14:textId="77777777" w:rsidR="00A73FE2" w:rsidRPr="000E59B6" w:rsidRDefault="00107222" w:rsidP="00C94E1E">
            <w:pPr>
              <w:pStyle w:val="Heading4"/>
              <w:outlineLvl w:val="3"/>
            </w:pPr>
            <w:r w:rsidRPr="000E59B6">
              <w:t>Stage</w:t>
            </w:r>
          </w:p>
        </w:tc>
        <w:tc>
          <w:tcPr>
            <w:tcW w:w="915" w:type="dxa"/>
          </w:tcPr>
          <w:p w14:paraId="661D42F8" w14:textId="77777777" w:rsidR="00A73FE2" w:rsidRPr="00C94E1E" w:rsidRDefault="00107222" w:rsidP="00C94E1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94E1E">
              <w:rPr>
                <w:rFonts w:ascii="Calibri" w:hAnsi="Calibri" w:cs="Calibri"/>
              </w:rPr>
              <w:t>2</w:t>
            </w:r>
          </w:p>
        </w:tc>
        <w:tc>
          <w:tcPr>
            <w:cnfStyle w:val="000010000000" w:firstRow="0" w:lastRow="0" w:firstColumn="0" w:lastColumn="0" w:oddVBand="1" w:evenVBand="0" w:oddHBand="0" w:evenHBand="0" w:firstRowFirstColumn="0" w:firstRowLastColumn="0" w:lastRowFirstColumn="0" w:lastRowLastColumn="0"/>
            <w:tcW w:w="2357" w:type="dxa"/>
          </w:tcPr>
          <w:p w14:paraId="0B9F0FC5" w14:textId="77777777" w:rsidR="00A73FE2" w:rsidRPr="000E59B6" w:rsidRDefault="00107222" w:rsidP="00C94E1E">
            <w:pPr>
              <w:pStyle w:val="Heading4"/>
              <w:outlineLvl w:val="3"/>
            </w:pPr>
            <w:r w:rsidRPr="000E59B6">
              <w:t>Module Co-ordinator</w:t>
            </w:r>
          </w:p>
        </w:tc>
        <w:tc>
          <w:tcPr>
            <w:tcW w:w="4165" w:type="dxa"/>
          </w:tcPr>
          <w:p w14:paraId="702CACB7" w14:textId="77777777" w:rsidR="00A73FE2" w:rsidRPr="00C94E1E" w:rsidRDefault="00107222" w:rsidP="00C94E1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94E1E">
              <w:rPr>
                <w:rFonts w:ascii="Calibri" w:hAnsi="Calibri" w:cs="Calibri"/>
              </w:rPr>
              <w:t>Rachel O’Dwyer</w:t>
            </w:r>
          </w:p>
        </w:tc>
      </w:tr>
      <w:tr w:rsidR="00A73FE2" w:rsidRPr="00C94E1E" w14:paraId="6F57AE47" w14:textId="77777777" w:rsidTr="00C94E1E">
        <w:trPr>
          <w:trHeight w:val="340"/>
        </w:trPr>
        <w:tc>
          <w:tcPr>
            <w:cnfStyle w:val="000010000000" w:firstRow="0" w:lastRow="0" w:firstColumn="0" w:lastColumn="0" w:oddVBand="1" w:evenVBand="0" w:oddHBand="0" w:evenHBand="0" w:firstRowFirstColumn="0" w:firstRowLastColumn="0" w:lastRowFirstColumn="0" w:lastRowLastColumn="0"/>
            <w:tcW w:w="1590" w:type="dxa"/>
          </w:tcPr>
          <w:p w14:paraId="579A799A" w14:textId="77777777" w:rsidR="00A73FE2" w:rsidRPr="000E59B6" w:rsidRDefault="00107222" w:rsidP="00C94E1E">
            <w:pPr>
              <w:pStyle w:val="Heading4"/>
              <w:outlineLvl w:val="3"/>
            </w:pPr>
            <w:r w:rsidRPr="000E59B6">
              <w:t>Trimester</w:t>
            </w:r>
          </w:p>
        </w:tc>
        <w:tc>
          <w:tcPr>
            <w:tcW w:w="915" w:type="dxa"/>
          </w:tcPr>
          <w:p w14:paraId="5C37E196" w14:textId="77777777" w:rsidR="00A73FE2" w:rsidRPr="00C94E1E" w:rsidRDefault="00107222" w:rsidP="00C94E1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94E1E">
              <w:rPr>
                <w:rFonts w:ascii="Calibri" w:hAnsi="Calibri" w:cs="Calibri"/>
              </w:rPr>
              <w:t>2</w:t>
            </w:r>
          </w:p>
        </w:tc>
        <w:tc>
          <w:tcPr>
            <w:cnfStyle w:val="000010000000" w:firstRow="0" w:lastRow="0" w:firstColumn="0" w:lastColumn="0" w:oddVBand="1" w:evenVBand="0" w:oddHBand="0" w:evenHBand="0" w:firstRowFirstColumn="0" w:firstRowLastColumn="0" w:lastRowFirstColumn="0" w:lastRowLastColumn="0"/>
            <w:tcW w:w="2357" w:type="dxa"/>
          </w:tcPr>
          <w:p w14:paraId="66D60CC2" w14:textId="77777777" w:rsidR="00A73FE2" w:rsidRPr="000E59B6" w:rsidRDefault="00107222" w:rsidP="00C94E1E">
            <w:pPr>
              <w:pStyle w:val="Heading4"/>
              <w:outlineLvl w:val="3"/>
            </w:pPr>
            <w:r w:rsidRPr="000E59B6">
              <w:t>Module Team</w:t>
            </w:r>
          </w:p>
        </w:tc>
        <w:tc>
          <w:tcPr>
            <w:tcW w:w="4165" w:type="dxa"/>
          </w:tcPr>
          <w:p w14:paraId="3CB46371" w14:textId="77777777" w:rsidR="00A73FE2" w:rsidRPr="00C94E1E" w:rsidRDefault="00107222" w:rsidP="00C94E1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94E1E">
              <w:rPr>
                <w:rFonts w:ascii="Calibri" w:hAnsi="Calibri" w:cs="Calibri"/>
              </w:rPr>
              <w:t>Rachel O’Dwyer</w:t>
            </w:r>
          </w:p>
        </w:tc>
      </w:tr>
      <w:tr w:rsidR="00A73FE2" w:rsidRPr="00C94E1E" w14:paraId="62AF5B46" w14:textId="77777777" w:rsidTr="00C94E1E">
        <w:trPr>
          <w:trHeight w:val="340"/>
        </w:trPr>
        <w:tc>
          <w:tcPr>
            <w:cnfStyle w:val="000010000000" w:firstRow="0" w:lastRow="0" w:firstColumn="0" w:lastColumn="0" w:oddVBand="1" w:evenVBand="0" w:oddHBand="0" w:evenHBand="0" w:firstRowFirstColumn="0" w:firstRowLastColumn="0" w:lastRowFirstColumn="0" w:lastRowLastColumn="0"/>
            <w:tcW w:w="1590" w:type="dxa"/>
          </w:tcPr>
          <w:p w14:paraId="11C5DDE5" w14:textId="77777777" w:rsidR="00A73FE2" w:rsidRPr="000E59B6" w:rsidRDefault="00107222" w:rsidP="00C94E1E">
            <w:pPr>
              <w:pStyle w:val="Heading4"/>
              <w:outlineLvl w:val="3"/>
            </w:pPr>
            <w:r w:rsidRPr="000E59B6">
              <w:t>Contact</w:t>
            </w:r>
          </w:p>
        </w:tc>
        <w:tc>
          <w:tcPr>
            <w:tcW w:w="7437" w:type="dxa"/>
            <w:gridSpan w:val="3"/>
          </w:tcPr>
          <w:p w14:paraId="6EDE56A8" w14:textId="3D7DCDAD" w:rsidR="00A73FE2" w:rsidRPr="000E59B6" w:rsidRDefault="00107222" w:rsidP="00C94E1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E59B6">
              <w:rPr>
                <w:rFonts w:ascii="Calibri" w:hAnsi="Calibri" w:cs="Calibri"/>
              </w:rPr>
              <w:t xml:space="preserve">Neasa Travers, Secretary School of Visual Culture: </w:t>
            </w:r>
            <w:hyperlink r:id="rId8" w:history="1">
              <w:r w:rsidR="000E59B6" w:rsidRPr="000E59B6">
                <w:rPr>
                  <w:rStyle w:val="Hyperlink"/>
                  <w:rFonts w:ascii="Calibri" w:hAnsi="Calibri" w:cs="Calibri"/>
                </w:rPr>
                <w:t>visualculture@staff.ncad.ie</w:t>
              </w:r>
            </w:hyperlink>
          </w:p>
        </w:tc>
      </w:tr>
      <w:tr w:rsidR="00A73FE2" w:rsidRPr="00C94E1E" w14:paraId="1FE34C84" w14:textId="77777777" w:rsidTr="00C94E1E">
        <w:trPr>
          <w:trHeight w:val="340"/>
        </w:trPr>
        <w:tc>
          <w:tcPr>
            <w:cnfStyle w:val="000010000000" w:firstRow="0" w:lastRow="0" w:firstColumn="0" w:lastColumn="0" w:oddVBand="1" w:evenVBand="0" w:oddHBand="0" w:evenHBand="0" w:firstRowFirstColumn="0" w:firstRowLastColumn="0" w:lastRowFirstColumn="0" w:lastRowLastColumn="0"/>
            <w:tcW w:w="1590" w:type="dxa"/>
          </w:tcPr>
          <w:p w14:paraId="7C4D6A29" w14:textId="77777777" w:rsidR="00A73FE2" w:rsidRPr="000E59B6" w:rsidRDefault="00107222" w:rsidP="00C94E1E">
            <w:pPr>
              <w:pStyle w:val="Heading4"/>
              <w:outlineLvl w:val="3"/>
            </w:pPr>
            <w:r w:rsidRPr="000E59B6">
              <w:t>Responsibility</w:t>
            </w:r>
          </w:p>
        </w:tc>
        <w:tc>
          <w:tcPr>
            <w:tcW w:w="7437" w:type="dxa"/>
            <w:gridSpan w:val="3"/>
          </w:tcPr>
          <w:p w14:paraId="40EEB003" w14:textId="6E4F9A8F" w:rsidR="00A73FE2" w:rsidRPr="00C94E1E" w:rsidRDefault="000E59B6" w:rsidP="00C94E1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The </w:t>
            </w:r>
            <w:r w:rsidR="00107222" w:rsidRPr="00C94E1E">
              <w:rPr>
                <w:rFonts w:ascii="Calibri" w:hAnsi="Calibri" w:cs="Calibri"/>
              </w:rPr>
              <w:t xml:space="preserve">NCAD Academic Council </w:t>
            </w:r>
            <w:r>
              <w:rPr>
                <w:rFonts w:ascii="Calibri" w:hAnsi="Calibri" w:cs="Calibri"/>
              </w:rPr>
              <w:t xml:space="preserve">and the </w:t>
            </w:r>
            <w:r w:rsidR="00107222" w:rsidRPr="00C94E1E">
              <w:rPr>
                <w:rFonts w:ascii="Calibri" w:hAnsi="Calibri" w:cs="Calibri"/>
              </w:rPr>
              <w:t>School of Visual Culture</w:t>
            </w:r>
            <w:r>
              <w:rPr>
                <w:rFonts w:ascii="Calibri" w:hAnsi="Calibri" w:cs="Calibri"/>
              </w:rPr>
              <w:t xml:space="preserve"> Board are responsible for this module.</w:t>
            </w:r>
          </w:p>
        </w:tc>
      </w:tr>
    </w:tbl>
    <w:p w14:paraId="10145EE1" w14:textId="77777777" w:rsidR="00C94E1E" w:rsidRPr="00C94E1E" w:rsidRDefault="00C94E1E" w:rsidP="000E59B6">
      <w:pPr>
        <w:pStyle w:val="Heading2"/>
      </w:pPr>
      <w:r w:rsidRPr="00C94E1E">
        <w:t>Introduction</w:t>
      </w:r>
    </w:p>
    <w:p w14:paraId="788888BE" w14:textId="2124B89E" w:rsidR="00C94E1E" w:rsidRPr="003725D2" w:rsidRDefault="00C94E1E" w:rsidP="000E59B6">
      <w:pPr>
        <w:pStyle w:val="ListParagraph"/>
      </w:pPr>
      <w:r w:rsidRPr="003725D2">
        <w:t>The purpose aim of the module is to familiarise students with the key issues in digital media and digital culture and related theoretical/philosophical concerns.</w:t>
      </w:r>
      <w:r w:rsidR="001E67B0">
        <w:t xml:space="preserve"> </w:t>
      </w:r>
      <w:r w:rsidRPr="003725D2">
        <w:t xml:space="preserve"> It constitutes a more focused examination of the role of digital technology in Visual Culture after the VC1-6 module offered in the first year (Te</w:t>
      </w:r>
      <w:r w:rsidR="001E67B0">
        <w:t>chnologies of Visual Culture).</w:t>
      </w:r>
    </w:p>
    <w:p w14:paraId="0A386E7E" w14:textId="4A0F1B7E" w:rsidR="00C94E1E" w:rsidRPr="003725D2" w:rsidRDefault="00C94E1E" w:rsidP="000E59B6">
      <w:pPr>
        <w:pStyle w:val="ListParagraph"/>
      </w:pPr>
      <w:r w:rsidRPr="003725D2">
        <w:t>This module examines the relationship between the virtual and the real, issues of human identity and relationship, the nature of life and intelligence in the context of cybernetics, political issues around surveillance and privacy in the digital era, the relationship between cybernetics and aesthetics, in particular with regard to notions of the sublime (Burke, Kant) in the context of cyberspace, and the Gesamtkunstwerk or total art work (Wagner) in t</w:t>
      </w:r>
      <w:r w:rsidR="001E67B0">
        <w:t>he context of virtual reality.</w:t>
      </w:r>
    </w:p>
    <w:p w14:paraId="65E756CB" w14:textId="77777777" w:rsidR="00C94E1E" w:rsidRPr="003725D2" w:rsidRDefault="00C94E1E" w:rsidP="000E59B6">
      <w:pPr>
        <w:pStyle w:val="ListParagraph"/>
      </w:pPr>
      <w:r w:rsidRPr="003725D2">
        <w:t>The module addresses issues around computer games in the context of telepresence and augmented reality, and focuses on specific cultural examples of digital art/design, including computer animation, interactive art, crossover art/design/technology, and digital music and examines emerging cultural phenomena.</w:t>
      </w:r>
    </w:p>
    <w:p w14:paraId="5F30EC88" w14:textId="77777777" w:rsidR="00C94E1E" w:rsidRPr="003725D2" w:rsidRDefault="00C94E1E" w:rsidP="000E59B6">
      <w:pPr>
        <w:pStyle w:val="ListParagraph"/>
      </w:pPr>
      <w:r w:rsidRPr="003725D2">
        <w:t>The aims of this module are:</w:t>
      </w:r>
    </w:p>
    <w:p w14:paraId="55A9B0E2" w14:textId="0610FDDC" w:rsidR="00C94E1E" w:rsidRPr="00AD42C3" w:rsidRDefault="00C94E1E" w:rsidP="003725D2">
      <w:pPr>
        <w:pStyle w:val="Bullets"/>
      </w:pPr>
      <w:r w:rsidRPr="00AD42C3">
        <w:t>To provide a set of critical frameworks for understanding the role of digital media and digital culture in di</w:t>
      </w:r>
      <w:r w:rsidR="003725D2">
        <w:t>fferent fields of culture.</w:t>
      </w:r>
    </w:p>
    <w:p w14:paraId="69F3B99F" w14:textId="77777777" w:rsidR="00C94E1E" w:rsidRPr="00AD42C3" w:rsidRDefault="00C94E1E" w:rsidP="003725D2">
      <w:pPr>
        <w:pStyle w:val="Bullets"/>
      </w:pPr>
      <w:r w:rsidRPr="00AD42C3">
        <w:t>To encourage critical approaches on the claims made for digital technology.</w:t>
      </w:r>
    </w:p>
    <w:p w14:paraId="13D8F44C" w14:textId="77777777" w:rsidR="00C94E1E" w:rsidRPr="00AD42C3" w:rsidRDefault="00C94E1E" w:rsidP="000E59B6">
      <w:pPr>
        <w:pStyle w:val="Heading2"/>
        <w:rPr>
          <w:rFonts w:eastAsia="Calibri"/>
        </w:rPr>
      </w:pPr>
      <w:r w:rsidRPr="00AD42C3">
        <w:t>What will I learn?</w:t>
      </w:r>
    </w:p>
    <w:p w14:paraId="0520BB2A" w14:textId="77777777" w:rsidR="00C94E1E" w:rsidRPr="00AD42C3" w:rsidRDefault="00C94E1E" w:rsidP="003725D2">
      <w:pPr>
        <w:pStyle w:val="ListParagraph"/>
      </w:pPr>
      <w:r w:rsidRPr="00AD42C3">
        <w:t>On successful completion of this module students will be able to:</w:t>
      </w:r>
    </w:p>
    <w:p w14:paraId="53B8EC89" w14:textId="23B8A6E0" w:rsidR="00C94E1E" w:rsidRPr="00AD42C3" w:rsidRDefault="00C94E1E" w:rsidP="003725D2">
      <w:pPr>
        <w:pStyle w:val="Bullets"/>
        <w:numPr>
          <w:ilvl w:val="0"/>
          <w:numId w:val="4"/>
        </w:numPr>
      </w:pPr>
      <w:r w:rsidRPr="00AD42C3">
        <w:t>RESEARCH: Develop an overview of several key philosophical issues pertaining to digital culture, including the relationship between the virtual and the real, the nature of human identity and relationships, the implications for issues in aesthetics</w:t>
      </w:r>
      <w:r w:rsidR="001E1970">
        <w:t>.</w:t>
      </w:r>
    </w:p>
    <w:p w14:paraId="78571909" w14:textId="77777777" w:rsidR="00C94E1E" w:rsidRPr="00AD42C3" w:rsidRDefault="00C94E1E" w:rsidP="003725D2">
      <w:pPr>
        <w:pStyle w:val="Bullets"/>
        <w:numPr>
          <w:ilvl w:val="0"/>
          <w:numId w:val="4"/>
        </w:numPr>
      </w:pPr>
      <w:r w:rsidRPr="00AD42C3">
        <w:lastRenderedPageBreak/>
        <w:t>ANALYSE: Reflect theoretically on several specific developments in the area of digital media, including interactive art, computer animation and hybrid art, and associated cultural and philosophical issues.</w:t>
      </w:r>
    </w:p>
    <w:p w14:paraId="4068633C" w14:textId="7DE69C83" w:rsidR="00C94E1E" w:rsidRPr="00AD42C3" w:rsidRDefault="00C94E1E" w:rsidP="003725D2">
      <w:pPr>
        <w:pStyle w:val="Bullets"/>
        <w:numPr>
          <w:ilvl w:val="0"/>
          <w:numId w:val="4"/>
        </w:numPr>
      </w:pPr>
      <w:r w:rsidRPr="00AD42C3">
        <w:t>COMMUNICATE knowledge in forms appropriate to topic with an awareness of key debates</w:t>
      </w:r>
      <w:r w:rsidR="001E1970">
        <w:t>.</w:t>
      </w:r>
    </w:p>
    <w:p w14:paraId="2D6A7327" w14:textId="77777777" w:rsidR="00C94E1E" w:rsidRPr="00AD42C3" w:rsidRDefault="00C94E1E" w:rsidP="000E59B6">
      <w:pPr>
        <w:pStyle w:val="Heading2"/>
        <w:rPr>
          <w:rFonts w:eastAsia="Calibri"/>
          <w:u w:val="single"/>
        </w:rPr>
      </w:pPr>
      <w:r w:rsidRPr="00AD42C3">
        <w:t>How will I learn?</w:t>
      </w:r>
    </w:p>
    <w:p w14:paraId="3EB74D56" w14:textId="598DB3E2" w:rsidR="00C94E1E" w:rsidRPr="001E1970" w:rsidRDefault="00C94E1E" w:rsidP="001E1970">
      <w:pPr>
        <w:pStyle w:val="ListParagraph"/>
        <w:rPr>
          <w:b/>
        </w:rPr>
      </w:pPr>
      <w:r w:rsidRPr="00AD42C3">
        <w:t>Students will participate in classroom lectures and seminars, related online and offline readings and discussions, and will be guided to events, exhibitions and lectures within the artistic and digital communities off campus.</w:t>
      </w:r>
    </w:p>
    <w:tbl>
      <w:tblPr>
        <w:tblStyle w:val="GridTable1Light-Accent1"/>
        <w:tblW w:w="5103" w:type="dxa"/>
        <w:tblLayout w:type="fixed"/>
        <w:tblLook w:val="0660" w:firstRow="1" w:lastRow="1" w:firstColumn="0" w:lastColumn="0" w:noHBand="1" w:noVBand="1"/>
      </w:tblPr>
      <w:tblGrid>
        <w:gridCol w:w="3686"/>
        <w:gridCol w:w="1417"/>
      </w:tblGrid>
      <w:tr w:rsidR="00A73FE2" w:rsidRPr="001E1970" w14:paraId="5421D673" w14:textId="77777777" w:rsidTr="001E67B0">
        <w:trPr>
          <w:cnfStyle w:val="100000000000" w:firstRow="1" w:lastRow="0" w:firstColumn="0" w:lastColumn="0" w:oddVBand="0" w:evenVBand="0" w:oddHBand="0" w:evenHBand="0" w:firstRowFirstColumn="0" w:firstRowLastColumn="0" w:lastRowFirstColumn="0" w:lastRowLastColumn="0"/>
          <w:trHeight w:val="283"/>
        </w:trPr>
        <w:tc>
          <w:tcPr>
            <w:tcW w:w="3686" w:type="dxa"/>
          </w:tcPr>
          <w:p w14:paraId="06E541D8" w14:textId="77777777" w:rsidR="00A73FE2" w:rsidRPr="001E1970" w:rsidRDefault="00107222" w:rsidP="001E1970">
            <w:pPr>
              <w:rPr>
                <w:rFonts w:cs="Calibri"/>
              </w:rPr>
            </w:pPr>
            <w:r w:rsidRPr="001E1970">
              <w:rPr>
                <w:rFonts w:cs="Calibri"/>
              </w:rPr>
              <w:t>Learning tool</w:t>
            </w:r>
          </w:p>
        </w:tc>
        <w:tc>
          <w:tcPr>
            <w:tcW w:w="1417" w:type="dxa"/>
          </w:tcPr>
          <w:p w14:paraId="241BA8A7" w14:textId="77777777" w:rsidR="00A73FE2" w:rsidRPr="001E1970" w:rsidRDefault="00107222" w:rsidP="001E1970">
            <w:pPr>
              <w:rPr>
                <w:rFonts w:cs="Calibri"/>
              </w:rPr>
            </w:pPr>
            <w:r w:rsidRPr="001E1970">
              <w:rPr>
                <w:rFonts w:cs="Calibri"/>
              </w:rPr>
              <w:t>Hours</w:t>
            </w:r>
          </w:p>
        </w:tc>
      </w:tr>
      <w:tr w:rsidR="00A73FE2" w:rsidRPr="001E1970" w14:paraId="18CAD546" w14:textId="77777777" w:rsidTr="001E67B0">
        <w:trPr>
          <w:trHeight w:val="283"/>
        </w:trPr>
        <w:tc>
          <w:tcPr>
            <w:tcW w:w="3686" w:type="dxa"/>
          </w:tcPr>
          <w:p w14:paraId="312CD411" w14:textId="77777777" w:rsidR="00A73FE2" w:rsidRPr="001E1970" w:rsidRDefault="00107222" w:rsidP="001E1970">
            <w:pPr>
              <w:rPr>
                <w:rFonts w:cs="Calibri"/>
              </w:rPr>
            </w:pPr>
            <w:r w:rsidRPr="001E1970">
              <w:rPr>
                <w:rFonts w:cs="Calibri"/>
              </w:rPr>
              <w:t>Lectures / Seminars</w:t>
            </w:r>
          </w:p>
        </w:tc>
        <w:tc>
          <w:tcPr>
            <w:tcW w:w="1417" w:type="dxa"/>
          </w:tcPr>
          <w:p w14:paraId="1FD0654C" w14:textId="6A789293" w:rsidR="00A73FE2" w:rsidRPr="001E1970" w:rsidRDefault="00093C70" w:rsidP="001E1970">
            <w:pPr>
              <w:rPr>
                <w:rFonts w:cs="Calibri"/>
              </w:rPr>
            </w:pPr>
            <w:r w:rsidRPr="001E1970">
              <w:rPr>
                <w:rFonts w:cs="Calibri"/>
              </w:rPr>
              <w:t>3</w:t>
            </w:r>
            <w:r w:rsidR="009C6970">
              <w:rPr>
                <w:rFonts w:cs="Calibri"/>
              </w:rPr>
              <w:t>3</w:t>
            </w:r>
          </w:p>
        </w:tc>
      </w:tr>
      <w:tr w:rsidR="00A73FE2" w:rsidRPr="001E1970" w14:paraId="750D77B7" w14:textId="77777777" w:rsidTr="001E67B0">
        <w:trPr>
          <w:trHeight w:val="283"/>
        </w:trPr>
        <w:tc>
          <w:tcPr>
            <w:tcW w:w="3686" w:type="dxa"/>
          </w:tcPr>
          <w:p w14:paraId="3864AEE7" w14:textId="77777777" w:rsidR="00A73FE2" w:rsidRPr="001E1970" w:rsidRDefault="00107222" w:rsidP="001E1970">
            <w:pPr>
              <w:rPr>
                <w:rFonts w:cs="Calibri"/>
              </w:rPr>
            </w:pPr>
            <w:r w:rsidRPr="001E1970">
              <w:rPr>
                <w:rFonts w:cs="Calibri"/>
              </w:rPr>
              <w:t>Specified Learning Activities</w:t>
            </w:r>
          </w:p>
        </w:tc>
        <w:tc>
          <w:tcPr>
            <w:tcW w:w="1417" w:type="dxa"/>
          </w:tcPr>
          <w:p w14:paraId="0996B0E8" w14:textId="18031DDC" w:rsidR="00A73FE2" w:rsidRPr="001E1970" w:rsidRDefault="009C6970" w:rsidP="001E1970">
            <w:pPr>
              <w:rPr>
                <w:rFonts w:cs="Calibri"/>
              </w:rPr>
            </w:pPr>
            <w:r>
              <w:rPr>
                <w:rFonts w:cs="Calibri"/>
              </w:rPr>
              <w:t>57</w:t>
            </w:r>
          </w:p>
        </w:tc>
      </w:tr>
      <w:tr w:rsidR="00A73FE2" w:rsidRPr="001E1970" w14:paraId="73E76D72" w14:textId="77777777" w:rsidTr="001E67B0">
        <w:trPr>
          <w:trHeight w:val="283"/>
        </w:trPr>
        <w:tc>
          <w:tcPr>
            <w:tcW w:w="3686" w:type="dxa"/>
          </w:tcPr>
          <w:p w14:paraId="20B6939B" w14:textId="77777777" w:rsidR="00A73FE2" w:rsidRPr="001E1970" w:rsidRDefault="00107222" w:rsidP="001E1970">
            <w:pPr>
              <w:rPr>
                <w:rFonts w:cs="Calibri"/>
              </w:rPr>
            </w:pPr>
            <w:r w:rsidRPr="001E1970">
              <w:rPr>
                <w:rFonts w:cs="Calibri"/>
              </w:rPr>
              <w:t xml:space="preserve">Autonomous Student Learning </w:t>
            </w:r>
          </w:p>
        </w:tc>
        <w:tc>
          <w:tcPr>
            <w:tcW w:w="1417" w:type="dxa"/>
          </w:tcPr>
          <w:p w14:paraId="174958FC" w14:textId="18488B88" w:rsidR="00A73FE2" w:rsidRPr="001E1970" w:rsidRDefault="00107222" w:rsidP="001E1970">
            <w:pPr>
              <w:rPr>
                <w:rFonts w:cs="Calibri"/>
              </w:rPr>
            </w:pPr>
            <w:r w:rsidRPr="001E1970">
              <w:rPr>
                <w:rFonts w:cs="Calibri"/>
              </w:rPr>
              <w:t>1</w:t>
            </w:r>
            <w:r w:rsidR="00093C70" w:rsidRPr="001E1970">
              <w:rPr>
                <w:rFonts w:cs="Calibri"/>
              </w:rPr>
              <w:t>1</w:t>
            </w:r>
            <w:r w:rsidRPr="001E1970">
              <w:rPr>
                <w:rFonts w:cs="Calibri"/>
              </w:rPr>
              <w:t>0</w:t>
            </w:r>
          </w:p>
        </w:tc>
      </w:tr>
      <w:tr w:rsidR="00A73FE2" w:rsidRPr="001E1970" w14:paraId="6D216254" w14:textId="77777777" w:rsidTr="001E67B0">
        <w:trPr>
          <w:cnfStyle w:val="010000000000" w:firstRow="0" w:lastRow="1" w:firstColumn="0" w:lastColumn="0" w:oddVBand="0" w:evenVBand="0" w:oddHBand="0" w:evenHBand="0" w:firstRowFirstColumn="0" w:firstRowLastColumn="0" w:lastRowFirstColumn="0" w:lastRowLastColumn="0"/>
          <w:trHeight w:val="283"/>
        </w:trPr>
        <w:tc>
          <w:tcPr>
            <w:tcW w:w="3686" w:type="dxa"/>
          </w:tcPr>
          <w:p w14:paraId="105EAD92" w14:textId="77777777" w:rsidR="00A73FE2" w:rsidRPr="001E1970" w:rsidRDefault="00107222" w:rsidP="001E1970">
            <w:pPr>
              <w:rPr>
                <w:rFonts w:cs="Calibri"/>
              </w:rPr>
            </w:pPr>
            <w:r w:rsidRPr="001E1970">
              <w:rPr>
                <w:rFonts w:cs="Calibri"/>
              </w:rPr>
              <w:t>Total</w:t>
            </w:r>
          </w:p>
        </w:tc>
        <w:tc>
          <w:tcPr>
            <w:tcW w:w="1417" w:type="dxa"/>
          </w:tcPr>
          <w:p w14:paraId="1B3576F5" w14:textId="77777777" w:rsidR="00A73FE2" w:rsidRPr="001E1970" w:rsidRDefault="00107222" w:rsidP="001E1970">
            <w:pPr>
              <w:rPr>
                <w:rFonts w:cs="Calibri"/>
              </w:rPr>
            </w:pPr>
            <w:r w:rsidRPr="001E1970">
              <w:rPr>
                <w:rFonts w:cs="Calibri"/>
              </w:rPr>
              <w:t>200</w:t>
            </w:r>
          </w:p>
        </w:tc>
      </w:tr>
    </w:tbl>
    <w:p w14:paraId="3B365BAE" w14:textId="77777777" w:rsidR="00C94E1E" w:rsidRPr="00AD42C3" w:rsidRDefault="00C94E1E" w:rsidP="000E59B6">
      <w:pPr>
        <w:pStyle w:val="Heading2"/>
        <w:rPr>
          <w:rFonts w:eastAsia="Calibri"/>
        </w:rPr>
      </w:pPr>
      <w:r w:rsidRPr="00AD42C3">
        <w:t>What learning supports are provided?</w:t>
      </w:r>
    </w:p>
    <w:p w14:paraId="2F6800EC" w14:textId="77777777" w:rsidR="00C94E1E" w:rsidRPr="00AD42C3" w:rsidRDefault="00C94E1E" w:rsidP="001E1970">
      <w:pPr>
        <w:pStyle w:val="ListParagraph"/>
      </w:pPr>
      <w:r w:rsidRPr="00AD42C3">
        <w:t xml:space="preserve">Students will be provided with bibliographic references, links to on-line resources as well as material for analysis in class. </w:t>
      </w:r>
    </w:p>
    <w:p w14:paraId="2222EEFA" w14:textId="02C3C0A1" w:rsidR="00C94E1E" w:rsidRPr="000E59B6" w:rsidRDefault="001E1970" w:rsidP="000E59B6">
      <w:pPr>
        <w:pStyle w:val="Heading3"/>
      </w:pPr>
      <w:r w:rsidRPr="000E59B6">
        <w:t>Indicative bibliography</w:t>
      </w:r>
    </w:p>
    <w:p w14:paraId="1998FF4C" w14:textId="77777777" w:rsidR="00C94E1E" w:rsidRPr="00AD42C3" w:rsidRDefault="00C94E1E" w:rsidP="000E59B6">
      <w:pPr>
        <w:pStyle w:val="ListParagraph"/>
        <w:numPr>
          <w:ilvl w:val="0"/>
          <w:numId w:val="5"/>
        </w:numPr>
        <w:spacing w:after="40" w:line="252" w:lineRule="auto"/>
        <w:ind w:left="709" w:hanging="357"/>
      </w:pPr>
      <w:r w:rsidRPr="00AD42C3">
        <w:t xml:space="preserve">Barnatt, C. (2013) </w:t>
      </w:r>
      <w:r w:rsidRPr="000E59B6">
        <w:rPr>
          <w:i/>
        </w:rPr>
        <w:t>3D Printing: The Next Industrial Revolution</w:t>
      </w:r>
      <w:r w:rsidRPr="00AD42C3">
        <w:t xml:space="preserve">, New York, NT: CreateSpace. </w:t>
      </w:r>
    </w:p>
    <w:p w14:paraId="1D86D5F6" w14:textId="77777777" w:rsidR="00C94E1E" w:rsidRPr="00AD42C3" w:rsidRDefault="00C94E1E" w:rsidP="000E59B6">
      <w:pPr>
        <w:pStyle w:val="ListParagraph"/>
        <w:numPr>
          <w:ilvl w:val="0"/>
          <w:numId w:val="5"/>
        </w:numPr>
        <w:spacing w:after="40" w:line="252" w:lineRule="auto"/>
        <w:ind w:left="709" w:hanging="357"/>
      </w:pPr>
      <w:r w:rsidRPr="00AD42C3">
        <w:t xml:space="preserve">Castells, M. (1996) </w:t>
      </w:r>
      <w:r w:rsidRPr="000E59B6">
        <w:rPr>
          <w:i/>
        </w:rPr>
        <w:t>The Rise of the Networked Society.</w:t>
      </w:r>
      <w:r w:rsidRPr="00AD42C3">
        <w:t xml:space="preserve"> New York: Blackwell.</w:t>
      </w:r>
    </w:p>
    <w:p w14:paraId="58CAFF8E" w14:textId="77777777" w:rsidR="00C94E1E" w:rsidRPr="00AD42C3" w:rsidRDefault="00C94E1E" w:rsidP="000E59B6">
      <w:pPr>
        <w:pStyle w:val="ListParagraph"/>
        <w:numPr>
          <w:ilvl w:val="0"/>
          <w:numId w:val="5"/>
        </w:numPr>
        <w:spacing w:after="40" w:line="252" w:lineRule="auto"/>
        <w:ind w:left="709" w:hanging="357"/>
      </w:pPr>
      <w:r w:rsidRPr="00AD42C3">
        <w:t xml:space="preserve">Gronlund, Melissa (2017) </w:t>
      </w:r>
      <w:r w:rsidRPr="000E59B6">
        <w:rPr>
          <w:i/>
        </w:rPr>
        <w:t>Contemporary Art and Digital Culture.</w:t>
      </w:r>
      <w:r w:rsidRPr="00AD42C3">
        <w:t xml:space="preserve"> London: Routledge</w:t>
      </w:r>
    </w:p>
    <w:p w14:paraId="7EBAC578" w14:textId="77777777" w:rsidR="00C94E1E" w:rsidRPr="00AD42C3" w:rsidRDefault="00C94E1E" w:rsidP="000E59B6">
      <w:pPr>
        <w:pStyle w:val="ListParagraph"/>
        <w:numPr>
          <w:ilvl w:val="0"/>
          <w:numId w:val="5"/>
        </w:numPr>
        <w:spacing w:after="40" w:line="252" w:lineRule="auto"/>
        <w:ind w:left="709" w:hanging="357"/>
      </w:pPr>
      <w:r w:rsidRPr="00AD42C3">
        <w:t xml:space="preserve">Haraway, D. "A Cyborg Manifesto: Science, Technology, and Socialist-Feminism in the Late Twentieth Century," in (1991) </w:t>
      </w:r>
      <w:r w:rsidRPr="000E59B6">
        <w:rPr>
          <w:i/>
        </w:rPr>
        <w:t>Simians, Cyborgs and Women: The Reinvention of Nature.</w:t>
      </w:r>
      <w:r w:rsidRPr="00AD42C3">
        <w:t xml:space="preserve"> London: Free Association, pp.149-181. Available: https://monoskop.org/images/f/f3/Haraway_Donna_J_Simians_Cyborgs_and_Women_The_Reinvention_of_Nature.pdf  </w:t>
      </w:r>
    </w:p>
    <w:p w14:paraId="5E369975" w14:textId="77777777" w:rsidR="00C94E1E" w:rsidRPr="00AD42C3" w:rsidRDefault="00C94E1E" w:rsidP="000E59B6">
      <w:pPr>
        <w:pStyle w:val="ListParagraph"/>
        <w:numPr>
          <w:ilvl w:val="0"/>
          <w:numId w:val="5"/>
        </w:numPr>
        <w:spacing w:after="40" w:line="252" w:lineRule="auto"/>
        <w:ind w:left="709" w:hanging="357"/>
      </w:pPr>
      <w:r w:rsidRPr="00AD42C3">
        <w:t xml:space="preserve">Manovich, L. (2001) </w:t>
      </w:r>
      <w:r w:rsidRPr="000E59B6">
        <w:rPr>
          <w:i/>
        </w:rPr>
        <w:t>The Language of New Media.</w:t>
      </w:r>
      <w:r w:rsidRPr="00AD42C3">
        <w:t xml:space="preserve"> Cambridge, MA: The MIT Press.</w:t>
      </w:r>
    </w:p>
    <w:p w14:paraId="6FAA09EC" w14:textId="77777777" w:rsidR="00C94E1E" w:rsidRPr="00AD42C3" w:rsidRDefault="00C94E1E" w:rsidP="000E59B6">
      <w:pPr>
        <w:pStyle w:val="ListParagraph"/>
        <w:numPr>
          <w:ilvl w:val="0"/>
          <w:numId w:val="5"/>
        </w:numPr>
        <w:spacing w:after="40" w:line="252" w:lineRule="auto"/>
        <w:ind w:left="709" w:hanging="357"/>
      </w:pPr>
      <w:r w:rsidRPr="00AD42C3">
        <w:t xml:space="preserve">Sterling, B. (2005) </w:t>
      </w:r>
      <w:r w:rsidRPr="000E59B6">
        <w:rPr>
          <w:i/>
        </w:rPr>
        <w:t>Shaping Things,</w:t>
      </w:r>
      <w:r w:rsidRPr="00AD42C3">
        <w:t xml:space="preserve"> Cambridge, MA: The MIT Press.</w:t>
      </w:r>
    </w:p>
    <w:p w14:paraId="421F8EA4" w14:textId="77777777" w:rsidR="00C94E1E" w:rsidRPr="000E59B6" w:rsidRDefault="00C94E1E" w:rsidP="000E59B6">
      <w:pPr>
        <w:pStyle w:val="Heading2"/>
      </w:pPr>
      <w:r w:rsidRPr="000E59B6">
        <w:t>Am I eligible to take this module?</w:t>
      </w:r>
    </w:p>
    <w:p w14:paraId="4918E208" w14:textId="77777777" w:rsidR="000E59B6" w:rsidRPr="001E1970" w:rsidRDefault="000E59B6" w:rsidP="000E59B6">
      <w:pPr>
        <w:pStyle w:val="Heading3"/>
      </w:pPr>
      <w:r w:rsidRPr="001E1970">
        <w:t>Module Requisites and Incompatibles</w:t>
      </w:r>
    </w:p>
    <w:tbl>
      <w:tblPr>
        <w:tblStyle w:val="GridTable1Light-Accent1"/>
        <w:tblW w:w="9029" w:type="dxa"/>
        <w:tblLayout w:type="fixed"/>
        <w:tblLook w:val="0680" w:firstRow="0" w:lastRow="0" w:firstColumn="1" w:lastColumn="0" w:noHBand="1" w:noVBand="1"/>
      </w:tblPr>
      <w:tblGrid>
        <w:gridCol w:w="2043"/>
        <w:gridCol w:w="6986"/>
      </w:tblGrid>
      <w:tr w:rsidR="00A73FE2" w:rsidRPr="001E1970" w14:paraId="1FC70A14" w14:textId="77777777" w:rsidTr="000E59B6">
        <w:trPr>
          <w:trHeight w:val="292"/>
        </w:trPr>
        <w:tc>
          <w:tcPr>
            <w:cnfStyle w:val="001000000000" w:firstRow="0" w:lastRow="0" w:firstColumn="1" w:lastColumn="0" w:oddVBand="0" w:evenVBand="0" w:oddHBand="0" w:evenHBand="0" w:firstRowFirstColumn="0" w:firstRowLastColumn="0" w:lastRowFirstColumn="0" w:lastRowLastColumn="0"/>
            <w:tcW w:w="2043" w:type="dxa"/>
          </w:tcPr>
          <w:p w14:paraId="2E9831A9" w14:textId="77777777" w:rsidR="00A73FE2" w:rsidRPr="001E1970" w:rsidRDefault="00107222" w:rsidP="001E1970">
            <w:r w:rsidRPr="001E1970">
              <w:t>Pre-requisites</w:t>
            </w:r>
          </w:p>
        </w:tc>
        <w:tc>
          <w:tcPr>
            <w:tcW w:w="6986" w:type="dxa"/>
          </w:tcPr>
          <w:p w14:paraId="1FB5E2B5" w14:textId="77777777" w:rsidR="00A73FE2" w:rsidRPr="001E1970" w:rsidRDefault="00107222" w:rsidP="001E1970">
            <w:pPr>
              <w:cnfStyle w:val="000000000000" w:firstRow="0" w:lastRow="0" w:firstColumn="0" w:lastColumn="0" w:oddVBand="0" w:evenVBand="0" w:oddHBand="0" w:evenHBand="0" w:firstRowFirstColumn="0" w:firstRowLastColumn="0" w:lastRowFirstColumn="0" w:lastRowLastColumn="0"/>
            </w:pPr>
            <w:r w:rsidRPr="001E1970">
              <w:t>None</w:t>
            </w:r>
          </w:p>
        </w:tc>
      </w:tr>
      <w:tr w:rsidR="00A73FE2" w:rsidRPr="001E1970" w14:paraId="1FCB93D2" w14:textId="77777777" w:rsidTr="000E59B6">
        <w:trPr>
          <w:trHeight w:val="275"/>
        </w:trPr>
        <w:tc>
          <w:tcPr>
            <w:cnfStyle w:val="001000000000" w:firstRow="0" w:lastRow="0" w:firstColumn="1" w:lastColumn="0" w:oddVBand="0" w:evenVBand="0" w:oddHBand="0" w:evenHBand="0" w:firstRowFirstColumn="0" w:firstRowLastColumn="0" w:lastRowFirstColumn="0" w:lastRowLastColumn="0"/>
            <w:tcW w:w="2043" w:type="dxa"/>
          </w:tcPr>
          <w:p w14:paraId="31DA7051" w14:textId="77777777" w:rsidR="00A73FE2" w:rsidRPr="001E1970" w:rsidRDefault="00107222" w:rsidP="001E1970">
            <w:r w:rsidRPr="001E1970">
              <w:t>Co-requisites</w:t>
            </w:r>
          </w:p>
        </w:tc>
        <w:tc>
          <w:tcPr>
            <w:tcW w:w="6986" w:type="dxa"/>
          </w:tcPr>
          <w:p w14:paraId="24139F1B" w14:textId="77777777" w:rsidR="00A73FE2" w:rsidRPr="001E1970" w:rsidRDefault="00107222" w:rsidP="001E1970">
            <w:pPr>
              <w:cnfStyle w:val="000000000000" w:firstRow="0" w:lastRow="0" w:firstColumn="0" w:lastColumn="0" w:oddVBand="0" w:evenVBand="0" w:oddHBand="0" w:evenHBand="0" w:firstRowFirstColumn="0" w:firstRowLastColumn="0" w:lastRowFirstColumn="0" w:lastRowLastColumn="0"/>
            </w:pPr>
            <w:r w:rsidRPr="001E1970">
              <w:t>None</w:t>
            </w:r>
          </w:p>
        </w:tc>
      </w:tr>
      <w:tr w:rsidR="00A73FE2" w:rsidRPr="001E1970" w14:paraId="44DC1E79" w14:textId="77777777" w:rsidTr="000E59B6">
        <w:trPr>
          <w:trHeight w:val="275"/>
        </w:trPr>
        <w:tc>
          <w:tcPr>
            <w:cnfStyle w:val="001000000000" w:firstRow="0" w:lastRow="0" w:firstColumn="1" w:lastColumn="0" w:oddVBand="0" w:evenVBand="0" w:oddHBand="0" w:evenHBand="0" w:firstRowFirstColumn="0" w:firstRowLastColumn="0" w:lastRowFirstColumn="0" w:lastRowLastColumn="0"/>
            <w:tcW w:w="2043" w:type="dxa"/>
          </w:tcPr>
          <w:p w14:paraId="5FF29DED" w14:textId="77777777" w:rsidR="00A73FE2" w:rsidRPr="001E1970" w:rsidRDefault="00107222" w:rsidP="001E1970">
            <w:r w:rsidRPr="001E1970">
              <w:t>Incompatibles</w:t>
            </w:r>
          </w:p>
        </w:tc>
        <w:tc>
          <w:tcPr>
            <w:tcW w:w="6986" w:type="dxa"/>
          </w:tcPr>
          <w:p w14:paraId="79A1879A" w14:textId="77777777" w:rsidR="00A73FE2" w:rsidRPr="001E1970" w:rsidRDefault="00107222" w:rsidP="001E1970">
            <w:pPr>
              <w:cnfStyle w:val="000000000000" w:firstRow="0" w:lastRow="0" w:firstColumn="0" w:lastColumn="0" w:oddVBand="0" w:evenVBand="0" w:oddHBand="0" w:evenHBand="0" w:firstRowFirstColumn="0" w:firstRowLastColumn="0" w:lastRowFirstColumn="0" w:lastRowLastColumn="0"/>
            </w:pPr>
            <w:r w:rsidRPr="001E1970">
              <w:t>None</w:t>
            </w:r>
          </w:p>
        </w:tc>
      </w:tr>
      <w:tr w:rsidR="00A73FE2" w:rsidRPr="001E1970" w14:paraId="59FF894C" w14:textId="77777777" w:rsidTr="000E59B6">
        <w:trPr>
          <w:trHeight w:val="1414"/>
        </w:trPr>
        <w:tc>
          <w:tcPr>
            <w:cnfStyle w:val="001000000000" w:firstRow="0" w:lastRow="0" w:firstColumn="1" w:lastColumn="0" w:oddVBand="0" w:evenVBand="0" w:oddHBand="0" w:evenHBand="0" w:firstRowFirstColumn="0" w:firstRowLastColumn="0" w:lastRowFirstColumn="0" w:lastRowLastColumn="0"/>
            <w:tcW w:w="2043" w:type="dxa"/>
          </w:tcPr>
          <w:p w14:paraId="4B89E7CA" w14:textId="77777777" w:rsidR="00A73FE2" w:rsidRPr="001E1970" w:rsidRDefault="00107222" w:rsidP="001E1970">
            <w:r w:rsidRPr="001E1970">
              <w:t>Prior learning</w:t>
            </w:r>
          </w:p>
        </w:tc>
        <w:tc>
          <w:tcPr>
            <w:tcW w:w="6986" w:type="dxa"/>
          </w:tcPr>
          <w:p w14:paraId="048E1670" w14:textId="77777777" w:rsidR="00A73FE2" w:rsidRPr="001E1970" w:rsidRDefault="00107222" w:rsidP="001E1970">
            <w:pPr>
              <w:cnfStyle w:val="000000000000" w:firstRow="0" w:lastRow="0" w:firstColumn="0" w:lastColumn="0" w:oddVBand="0" w:evenVBand="0" w:oddHBand="0" w:evenHBand="0" w:firstRowFirstColumn="0" w:firstRowLastColumn="0" w:lastRowFirstColumn="0" w:lastRowLastColumn="0"/>
            </w:pPr>
            <w:r w:rsidRPr="001E1970">
              <w:t>Where a student can demonstrate that they have achieved at least 80% of the learning outcomes of this module, by academic certified achievement, or through quantifiable and documented experience, they can apply to the School for that prior learning to be recognised.  Applications must be received prior to the commencement of delivery of the module.</w:t>
            </w:r>
          </w:p>
        </w:tc>
      </w:tr>
      <w:tr w:rsidR="00A73FE2" w:rsidRPr="001E1970" w14:paraId="7270B760" w14:textId="77777777" w:rsidTr="000E59B6">
        <w:trPr>
          <w:trHeight w:val="275"/>
        </w:trPr>
        <w:tc>
          <w:tcPr>
            <w:cnfStyle w:val="001000000000" w:firstRow="0" w:lastRow="0" w:firstColumn="1" w:lastColumn="0" w:oddVBand="0" w:evenVBand="0" w:oddHBand="0" w:evenHBand="0" w:firstRowFirstColumn="0" w:firstRowLastColumn="0" w:lastRowFirstColumn="0" w:lastRowLastColumn="0"/>
            <w:tcW w:w="2043" w:type="dxa"/>
          </w:tcPr>
          <w:p w14:paraId="3B4314CE" w14:textId="77777777" w:rsidR="00A73FE2" w:rsidRPr="001E1970" w:rsidRDefault="00107222" w:rsidP="001E1970">
            <w:r w:rsidRPr="001E1970">
              <w:lastRenderedPageBreak/>
              <w:t>Recommended</w:t>
            </w:r>
          </w:p>
        </w:tc>
        <w:tc>
          <w:tcPr>
            <w:tcW w:w="6986" w:type="dxa"/>
          </w:tcPr>
          <w:p w14:paraId="178207C4" w14:textId="77777777" w:rsidR="00A73FE2" w:rsidRPr="001E1970" w:rsidRDefault="00107222" w:rsidP="001E1970">
            <w:pPr>
              <w:cnfStyle w:val="000000000000" w:firstRow="0" w:lastRow="0" w:firstColumn="0" w:lastColumn="0" w:oddVBand="0" w:evenVBand="0" w:oddHBand="0" w:evenHBand="0" w:firstRowFirstColumn="0" w:firstRowLastColumn="0" w:lastRowFirstColumn="0" w:lastRowLastColumn="0"/>
            </w:pPr>
            <w:r w:rsidRPr="001E1970">
              <w:t>None</w:t>
            </w:r>
          </w:p>
        </w:tc>
      </w:tr>
    </w:tbl>
    <w:p w14:paraId="6937E186" w14:textId="77777777" w:rsidR="00A73FE2" w:rsidRPr="00AD42C3" w:rsidRDefault="00A73FE2">
      <w:pPr>
        <w:pBdr>
          <w:top w:val="nil"/>
          <w:left w:val="nil"/>
          <w:bottom w:val="nil"/>
          <w:right w:val="nil"/>
          <w:between w:val="nil"/>
        </w:pBdr>
        <w:ind w:left="142"/>
        <w:rPr>
          <w:rFonts w:eastAsia="Arial" w:cs="Calibri"/>
          <w:color w:val="000000"/>
          <w:sz w:val="20"/>
          <w:szCs w:val="20"/>
        </w:rPr>
      </w:pPr>
    </w:p>
    <w:p w14:paraId="041887E6" w14:textId="77777777" w:rsidR="00C94E1E" w:rsidRPr="00AD42C3" w:rsidRDefault="00C94E1E" w:rsidP="000E59B6">
      <w:pPr>
        <w:pStyle w:val="Heading2"/>
        <w:rPr>
          <w:rFonts w:eastAsia="Calibri"/>
        </w:rPr>
      </w:pPr>
      <w:r w:rsidRPr="00AD42C3">
        <w:t>How will I be assessed?</w:t>
      </w:r>
    </w:p>
    <w:tbl>
      <w:tblPr>
        <w:tblStyle w:val="GridTable2-Accent1"/>
        <w:tblW w:w="6082" w:type="dxa"/>
        <w:tblLayout w:type="fixed"/>
        <w:tblLook w:val="0660" w:firstRow="1" w:lastRow="1" w:firstColumn="0" w:lastColumn="0" w:noHBand="1" w:noVBand="1"/>
      </w:tblPr>
      <w:tblGrid>
        <w:gridCol w:w="2694"/>
        <w:gridCol w:w="1984"/>
        <w:gridCol w:w="1404"/>
      </w:tblGrid>
      <w:tr w:rsidR="00A73FE2" w:rsidRPr="001E1970" w14:paraId="0D3CC237" w14:textId="77777777" w:rsidTr="000E59B6">
        <w:trPr>
          <w:cnfStyle w:val="100000000000" w:firstRow="1" w:lastRow="0" w:firstColumn="0" w:lastColumn="0" w:oddVBand="0" w:evenVBand="0" w:oddHBand="0" w:evenHBand="0" w:firstRowFirstColumn="0" w:firstRowLastColumn="0" w:lastRowFirstColumn="0" w:lastRowLastColumn="0"/>
          <w:trHeight w:val="340"/>
        </w:trPr>
        <w:tc>
          <w:tcPr>
            <w:tcW w:w="2694" w:type="dxa"/>
          </w:tcPr>
          <w:p w14:paraId="0A3D0536" w14:textId="77777777" w:rsidR="00A73FE2" w:rsidRPr="001E1970" w:rsidRDefault="00107222" w:rsidP="000E59B6">
            <w:pPr>
              <w:rPr>
                <w:rFonts w:cs="Calibri"/>
              </w:rPr>
            </w:pPr>
            <w:r w:rsidRPr="001E1970">
              <w:rPr>
                <w:rFonts w:cs="Calibri"/>
              </w:rPr>
              <w:t>Assessment tool</w:t>
            </w:r>
          </w:p>
        </w:tc>
        <w:tc>
          <w:tcPr>
            <w:tcW w:w="1984" w:type="dxa"/>
          </w:tcPr>
          <w:p w14:paraId="61FDAC33" w14:textId="77777777" w:rsidR="00A73FE2" w:rsidRPr="001E1970" w:rsidRDefault="00107222" w:rsidP="000E59B6">
            <w:pPr>
              <w:rPr>
                <w:rFonts w:cs="Calibri"/>
              </w:rPr>
            </w:pPr>
            <w:r w:rsidRPr="001E1970">
              <w:rPr>
                <w:rFonts w:cs="Calibri"/>
              </w:rPr>
              <w:t>% of final grade</w:t>
            </w:r>
          </w:p>
        </w:tc>
        <w:tc>
          <w:tcPr>
            <w:tcW w:w="1404" w:type="dxa"/>
          </w:tcPr>
          <w:p w14:paraId="5BC41A96" w14:textId="77777777" w:rsidR="00A73FE2" w:rsidRPr="001E1970" w:rsidRDefault="00107222" w:rsidP="000E59B6">
            <w:pPr>
              <w:rPr>
                <w:rFonts w:cs="Calibri"/>
              </w:rPr>
            </w:pPr>
            <w:r w:rsidRPr="001E1970">
              <w:rPr>
                <w:rFonts w:cs="Calibri"/>
              </w:rPr>
              <w:t>Timing</w:t>
            </w:r>
          </w:p>
        </w:tc>
      </w:tr>
      <w:tr w:rsidR="00A73FE2" w:rsidRPr="001E1970" w14:paraId="6355E789" w14:textId="77777777" w:rsidTr="000E59B6">
        <w:trPr>
          <w:trHeight w:val="340"/>
        </w:trPr>
        <w:tc>
          <w:tcPr>
            <w:tcW w:w="2694" w:type="dxa"/>
          </w:tcPr>
          <w:p w14:paraId="6EF363A9" w14:textId="77777777" w:rsidR="00A73FE2" w:rsidRPr="001E1970" w:rsidRDefault="00107222" w:rsidP="000E59B6">
            <w:pPr>
              <w:rPr>
                <w:rFonts w:cs="Calibri"/>
              </w:rPr>
            </w:pPr>
            <w:r w:rsidRPr="001E1970">
              <w:rPr>
                <w:rFonts w:cs="Calibri"/>
              </w:rPr>
              <w:t>Illustrated essay</w:t>
            </w:r>
          </w:p>
        </w:tc>
        <w:tc>
          <w:tcPr>
            <w:tcW w:w="1984" w:type="dxa"/>
          </w:tcPr>
          <w:p w14:paraId="0A4346A1" w14:textId="77777777" w:rsidR="00A73FE2" w:rsidRPr="001E1970" w:rsidRDefault="00107222" w:rsidP="000E59B6">
            <w:pPr>
              <w:rPr>
                <w:rFonts w:cs="Calibri"/>
              </w:rPr>
            </w:pPr>
            <w:r w:rsidRPr="001E1970">
              <w:rPr>
                <w:rFonts w:cs="Calibri"/>
              </w:rPr>
              <w:t>100%</w:t>
            </w:r>
          </w:p>
        </w:tc>
        <w:tc>
          <w:tcPr>
            <w:tcW w:w="1404" w:type="dxa"/>
          </w:tcPr>
          <w:p w14:paraId="51F94842" w14:textId="7B589661" w:rsidR="00A73FE2" w:rsidRPr="001E1970" w:rsidRDefault="00870559" w:rsidP="000E59B6">
            <w:pPr>
              <w:rPr>
                <w:rFonts w:cs="Calibri"/>
              </w:rPr>
            </w:pPr>
            <w:r>
              <w:rPr>
                <w:rFonts w:cs="Calibri"/>
              </w:rPr>
              <w:t>Week 1</w:t>
            </w:r>
            <w:r w:rsidR="00107222" w:rsidRPr="001E1970">
              <w:rPr>
                <w:rFonts w:cs="Calibri"/>
              </w:rPr>
              <w:t>1</w:t>
            </w:r>
          </w:p>
        </w:tc>
      </w:tr>
      <w:tr w:rsidR="00A73FE2" w:rsidRPr="001E1970" w14:paraId="1BFF5ED1" w14:textId="77777777" w:rsidTr="000E59B6">
        <w:trPr>
          <w:cnfStyle w:val="010000000000" w:firstRow="0" w:lastRow="1" w:firstColumn="0" w:lastColumn="0" w:oddVBand="0" w:evenVBand="0" w:oddHBand="0" w:evenHBand="0" w:firstRowFirstColumn="0" w:firstRowLastColumn="0" w:lastRowFirstColumn="0" w:lastRowLastColumn="0"/>
          <w:trHeight w:val="340"/>
        </w:trPr>
        <w:tc>
          <w:tcPr>
            <w:tcW w:w="2694" w:type="dxa"/>
          </w:tcPr>
          <w:p w14:paraId="71A0719F" w14:textId="77777777" w:rsidR="00A73FE2" w:rsidRPr="001E1970" w:rsidRDefault="00107222" w:rsidP="000E59B6">
            <w:pPr>
              <w:rPr>
                <w:rFonts w:cs="Calibri"/>
              </w:rPr>
            </w:pPr>
            <w:r w:rsidRPr="001E1970">
              <w:rPr>
                <w:rFonts w:cs="Calibri"/>
              </w:rPr>
              <w:t>Total</w:t>
            </w:r>
          </w:p>
        </w:tc>
        <w:tc>
          <w:tcPr>
            <w:tcW w:w="1984" w:type="dxa"/>
          </w:tcPr>
          <w:p w14:paraId="3333CE75" w14:textId="77777777" w:rsidR="00A73FE2" w:rsidRPr="001E1970" w:rsidRDefault="00107222" w:rsidP="000E59B6">
            <w:pPr>
              <w:rPr>
                <w:rFonts w:cs="Calibri"/>
              </w:rPr>
            </w:pPr>
            <w:r w:rsidRPr="001E1970">
              <w:rPr>
                <w:rFonts w:cs="Calibri"/>
              </w:rPr>
              <w:t>100%</w:t>
            </w:r>
          </w:p>
        </w:tc>
        <w:tc>
          <w:tcPr>
            <w:tcW w:w="1404" w:type="dxa"/>
          </w:tcPr>
          <w:p w14:paraId="65843558" w14:textId="77777777" w:rsidR="00A73FE2" w:rsidRPr="001E1970" w:rsidRDefault="00A73FE2" w:rsidP="000E59B6">
            <w:pPr>
              <w:rPr>
                <w:rFonts w:cs="Calibri"/>
              </w:rPr>
            </w:pPr>
          </w:p>
        </w:tc>
      </w:tr>
    </w:tbl>
    <w:p w14:paraId="72F675C8" w14:textId="77777777" w:rsidR="001E1970" w:rsidRDefault="001E1970" w:rsidP="001E1970"/>
    <w:tbl>
      <w:tblPr>
        <w:tblStyle w:val="GridTable2-Accent1"/>
        <w:tblW w:w="0" w:type="auto"/>
        <w:tblLook w:val="0620" w:firstRow="1" w:lastRow="0" w:firstColumn="0" w:lastColumn="0" w:noHBand="1" w:noVBand="1"/>
      </w:tblPr>
      <w:tblGrid>
        <w:gridCol w:w="2652"/>
        <w:gridCol w:w="3439"/>
      </w:tblGrid>
      <w:tr w:rsidR="001E1970" w:rsidRPr="001E1970" w14:paraId="4D60404B" w14:textId="77777777" w:rsidTr="000E59B6">
        <w:trPr>
          <w:cnfStyle w:val="100000000000" w:firstRow="1" w:lastRow="0" w:firstColumn="0" w:lastColumn="0" w:oddVBand="0" w:evenVBand="0" w:oddHBand="0" w:evenHBand="0" w:firstRowFirstColumn="0" w:firstRowLastColumn="0" w:lastRowFirstColumn="0" w:lastRowLastColumn="0"/>
          <w:trHeight w:val="76"/>
        </w:trPr>
        <w:tc>
          <w:tcPr>
            <w:tcW w:w="2652" w:type="dxa"/>
          </w:tcPr>
          <w:p w14:paraId="1304E251" w14:textId="77777777" w:rsidR="001E1970" w:rsidRPr="001E1970" w:rsidRDefault="001E1970" w:rsidP="001E1970">
            <w:pPr>
              <w:rPr>
                <w:rFonts w:cs="Calibri"/>
                <w:b w:val="0"/>
              </w:rPr>
            </w:pPr>
            <w:r w:rsidRPr="001E1970">
              <w:rPr>
                <w:rFonts w:cs="Calibri"/>
                <w:b w:val="0"/>
              </w:rPr>
              <w:t>Assessment tool</w:t>
            </w:r>
          </w:p>
        </w:tc>
        <w:tc>
          <w:tcPr>
            <w:tcW w:w="3439" w:type="dxa"/>
          </w:tcPr>
          <w:p w14:paraId="3D6B0309" w14:textId="77777777" w:rsidR="001E1970" w:rsidRPr="001E1970" w:rsidRDefault="001E1970" w:rsidP="001E1970">
            <w:pPr>
              <w:rPr>
                <w:rFonts w:cs="Calibri"/>
                <w:b w:val="0"/>
              </w:rPr>
            </w:pPr>
            <w:r w:rsidRPr="001E1970">
              <w:rPr>
                <w:rFonts w:cs="Calibri"/>
                <w:b w:val="0"/>
              </w:rPr>
              <w:t>Learning outcomes assessed</w:t>
            </w:r>
          </w:p>
        </w:tc>
      </w:tr>
      <w:tr w:rsidR="001E1970" w:rsidRPr="001E1970" w14:paraId="47FB8396" w14:textId="77777777" w:rsidTr="000E59B6">
        <w:trPr>
          <w:trHeight w:val="250"/>
        </w:trPr>
        <w:tc>
          <w:tcPr>
            <w:tcW w:w="2652" w:type="dxa"/>
          </w:tcPr>
          <w:p w14:paraId="008F56CA" w14:textId="563959C4" w:rsidR="001E1970" w:rsidRPr="001E1970" w:rsidRDefault="001E1970" w:rsidP="001E1970">
            <w:pPr>
              <w:rPr>
                <w:rFonts w:cs="Calibri"/>
              </w:rPr>
            </w:pPr>
            <w:r w:rsidRPr="001E1970">
              <w:rPr>
                <w:rFonts w:cs="Calibri"/>
              </w:rPr>
              <w:t>Illustrated essay</w:t>
            </w:r>
          </w:p>
        </w:tc>
        <w:tc>
          <w:tcPr>
            <w:tcW w:w="3439" w:type="dxa"/>
          </w:tcPr>
          <w:p w14:paraId="1601392F" w14:textId="5201828E" w:rsidR="001E1970" w:rsidRPr="001E1970" w:rsidRDefault="001E1970" w:rsidP="001E1970">
            <w:pPr>
              <w:rPr>
                <w:rFonts w:cs="Calibri"/>
              </w:rPr>
            </w:pPr>
            <w:r w:rsidRPr="001E1970">
              <w:rPr>
                <w:rFonts w:cs="Calibri"/>
              </w:rPr>
              <w:t>Learning outcomes 1, 2, and 3</w:t>
            </w:r>
          </w:p>
        </w:tc>
      </w:tr>
    </w:tbl>
    <w:p w14:paraId="74117BA7" w14:textId="77777777" w:rsidR="001E1970" w:rsidRDefault="001E1970" w:rsidP="001E1970"/>
    <w:p w14:paraId="2A628D36" w14:textId="02F157ED" w:rsidR="00A73FE2" w:rsidRPr="001E1970" w:rsidRDefault="00107222" w:rsidP="001E1970">
      <w:pPr>
        <w:pStyle w:val="ListParagraph"/>
      </w:pPr>
      <w:r w:rsidRPr="00AD42C3">
        <w:t>Students will submit a 3</w:t>
      </w:r>
      <w:r w:rsidR="001E1970">
        <w:t>,</w:t>
      </w:r>
      <w:r w:rsidRPr="00AD42C3">
        <w:t>000</w:t>
      </w:r>
      <w:r w:rsidR="000E59B6">
        <w:t>-</w:t>
      </w:r>
      <w:r w:rsidRPr="00AD42C3">
        <w:t xml:space="preserve">word illustrated essay or the equivalent in a digital format for assessment. </w:t>
      </w:r>
      <w:r w:rsidR="001E1970">
        <w:t xml:space="preserve"> </w:t>
      </w:r>
      <w:r w:rsidRPr="00AD42C3">
        <w:t xml:space="preserve">The assessment will be made against </w:t>
      </w:r>
      <w:hyperlink r:id="rId9" w:history="1">
        <w:r w:rsidRPr="001E1970">
          <w:rPr>
            <w:rStyle w:val="Hyperlink"/>
          </w:rPr>
          <w:t>NCAD Grade Assessment Criteria</w:t>
        </w:r>
      </w:hyperlink>
      <w:r w:rsidRPr="00AD42C3">
        <w:t xml:space="preserve">. </w:t>
      </w:r>
      <w:r w:rsidR="001E1970">
        <w:t xml:space="preserve"> </w:t>
      </w:r>
      <w:r w:rsidRPr="00AD42C3">
        <w:t>Written feedback will be given.</w:t>
      </w:r>
    </w:p>
    <w:p w14:paraId="5F32B69A" w14:textId="77777777" w:rsidR="00C94E1E" w:rsidRPr="00AD42C3" w:rsidRDefault="00C94E1E" w:rsidP="000E59B6">
      <w:pPr>
        <w:pStyle w:val="Heading2"/>
        <w:rPr>
          <w:rFonts w:eastAsia="Calibri"/>
        </w:rPr>
      </w:pPr>
      <w:r w:rsidRPr="00AD42C3">
        <w:t>Feedback, results and grading</w:t>
      </w:r>
    </w:p>
    <w:p w14:paraId="379426C2" w14:textId="3CA9097C" w:rsidR="00C94E1E" w:rsidRPr="00AD42C3" w:rsidRDefault="00C94E1E" w:rsidP="001E67B0">
      <w:pPr>
        <w:pStyle w:val="ListParagraph"/>
      </w:pPr>
      <w:r w:rsidRPr="00AD42C3">
        <w:t xml:space="preserve">Work submitted for assessment will be graded using </w:t>
      </w:r>
      <w:hyperlink r:id="rId10" w:history="1">
        <w:r w:rsidRPr="001E67B0">
          <w:rPr>
            <w:rStyle w:val="Hyperlink"/>
          </w:rPr>
          <w:t>NCAD Grade Assessment Criteria</w:t>
        </w:r>
      </w:hyperlink>
      <w:r w:rsidRPr="00AD42C3">
        <w:t xml:space="preserve">. </w:t>
      </w:r>
    </w:p>
    <w:p w14:paraId="499FC122" w14:textId="581BA507" w:rsidR="00C94E1E" w:rsidRPr="00AD42C3" w:rsidRDefault="00C94E1E" w:rsidP="001E67B0">
      <w:pPr>
        <w:pStyle w:val="ListParagraph"/>
      </w:pPr>
      <w:r w:rsidRPr="00AD42C3">
        <w:t xml:space="preserve">Please note: students undertaking the electives which form part of this module will be at different stages of their study, and tutors will recognise this in their feedback. </w:t>
      </w:r>
      <w:r w:rsidR="001E67B0">
        <w:t xml:space="preserve"> </w:t>
      </w:r>
      <w:r w:rsidRPr="00AD42C3">
        <w:t xml:space="preserve">For instance, </w:t>
      </w:r>
      <w:r w:rsidR="00870559">
        <w:t>first year s</w:t>
      </w:r>
      <w:r w:rsidRPr="00AD42C3">
        <w:t>tudents should be able to assess the relative usefulness of the sources with which they work, understanding the different qualities of pri</w:t>
      </w:r>
      <w:r w:rsidR="0029335D">
        <w:t>mary sources and secondary ones</w:t>
      </w:r>
      <w:r w:rsidRPr="00AD42C3">
        <w:t>, whereas second and third year students should be able to demonstrate greater degrees of independence as researchers in the sourcing and selection of such materials.</w:t>
      </w:r>
    </w:p>
    <w:p w14:paraId="1FC6015C" w14:textId="77777777" w:rsidR="00C94E1E" w:rsidRPr="000E59B6" w:rsidRDefault="00C94E1E" w:rsidP="000E59B6">
      <w:pPr>
        <w:pStyle w:val="Heading2"/>
      </w:pPr>
      <w:r w:rsidRPr="000E59B6">
        <w:t>What happens if I fail?</w:t>
      </w:r>
    </w:p>
    <w:p w14:paraId="46C28C2D" w14:textId="77777777" w:rsidR="00C94E1E" w:rsidRPr="00AD42C3" w:rsidRDefault="00C94E1E" w:rsidP="001E67B0">
      <w:pPr>
        <w:pStyle w:val="ListParagraph"/>
      </w:pPr>
      <w:r w:rsidRPr="00AD42C3">
        <w:t>Opportunities will be provided during or at the end of Trimester 2 to students who do not complete all assessments in Trimester 1, but students will not be able to progress to the next stage of the programme until they have successfully completed all Year 2 modules, equivalent to 60 credits.</w:t>
      </w:r>
    </w:p>
    <w:p w14:paraId="15972834" w14:textId="77777777" w:rsidR="00C94E1E" w:rsidRPr="00AD42C3" w:rsidRDefault="00C94E1E" w:rsidP="000E59B6">
      <w:pPr>
        <w:pStyle w:val="Heading2"/>
        <w:rPr>
          <w:rFonts w:eastAsia="Calibri"/>
        </w:rPr>
      </w:pPr>
      <w:r w:rsidRPr="00AD42C3">
        <w:t>When and where is this module offered?</w:t>
      </w:r>
    </w:p>
    <w:p w14:paraId="62EE1A5F" w14:textId="28623E75" w:rsidR="00C94E1E" w:rsidRPr="00AD42C3" w:rsidRDefault="00870559" w:rsidP="001E67B0">
      <w:pPr>
        <w:pStyle w:val="ListParagraph"/>
      </w:pPr>
      <w:r>
        <w:t>Venue TBC / weeks 1-11</w:t>
      </w:r>
    </w:p>
    <w:p w14:paraId="6D671917" w14:textId="77777777" w:rsidR="00C94E1E" w:rsidRPr="00AD42C3" w:rsidRDefault="00C94E1E" w:rsidP="000E59B6">
      <w:pPr>
        <w:pStyle w:val="Heading2"/>
        <w:rPr>
          <w:rFonts w:eastAsia="Calibri"/>
        </w:rPr>
      </w:pPr>
      <w:r w:rsidRPr="00AD42C3">
        <w:t>How will I have the chance to evaluate the module?</w:t>
      </w:r>
    </w:p>
    <w:p w14:paraId="273A74FA" w14:textId="77777777" w:rsidR="00C94E1E" w:rsidRPr="00AD42C3" w:rsidRDefault="00C94E1E" w:rsidP="001E67B0">
      <w:pPr>
        <w:pStyle w:val="ListParagraph"/>
      </w:pPr>
      <w:r w:rsidRPr="00AD42C3">
        <w:t>It is important to NCAD that students inform the development of teaching and learning at NCAD.  We encourage all students to communicate their concerns and their observations about their study to members of staff so that any changes can be made in a timely manner.</w:t>
      </w:r>
    </w:p>
    <w:p w14:paraId="08A66AC6" w14:textId="50831F18" w:rsidR="00C94E1E" w:rsidRPr="00AD42C3" w:rsidRDefault="00C94E1E" w:rsidP="001E67B0">
      <w:pPr>
        <w:pStyle w:val="ListParagraph"/>
      </w:pPr>
      <w:r w:rsidRPr="00AD42C3">
        <w:t xml:space="preserve">About two-thirds of the way through the </w:t>
      </w:r>
      <w:r w:rsidR="000E59B6">
        <w:t>year</w:t>
      </w:r>
      <w:r w:rsidRPr="00AD42C3">
        <w:t xml:space="preserve">, a student forum will be convened to gather students’ comments about their study and the delivery of the programme.  In addition, at the end of Trimester 2, students have the opportunity to complete an online evaluation of their study and experience at </w:t>
      </w:r>
      <w:r w:rsidRPr="00AD42C3">
        <w:lastRenderedPageBreak/>
        <w:t>NCAD.  These evaluation events are important to current and future students, to ensure we can enhance the delivery of programmes at NCAD.</w:t>
      </w:r>
    </w:p>
    <w:p w14:paraId="735ADA22" w14:textId="77777777" w:rsidR="00C94E1E" w:rsidRPr="00AD42C3" w:rsidRDefault="00C94E1E" w:rsidP="001E67B0">
      <w:pPr>
        <w:pStyle w:val="ListParagraph"/>
      </w:pPr>
      <w:r w:rsidRPr="00AD42C3">
        <w:t>In addition, you are invited to discuss your experience on the module with your lecturers at any point during the year.  You can also relay your comments to the class student representative who will communicate your comments to the staff.</w:t>
      </w:r>
    </w:p>
    <w:p w14:paraId="6C43F56A" w14:textId="77777777" w:rsidR="00A73FE2" w:rsidRPr="000E59B6" w:rsidRDefault="00107222" w:rsidP="000E59B6">
      <w:pPr>
        <w:jc w:val="center"/>
        <w:rPr>
          <w:b/>
          <w:sz w:val="20"/>
        </w:rPr>
      </w:pPr>
      <w:r w:rsidRPr="000E59B6">
        <w:rPr>
          <w:b/>
          <w:sz w:val="20"/>
        </w:rPr>
        <w:t>For further details on the content of your module and teaching arrangements,</w:t>
      </w:r>
      <w:r w:rsidRPr="000E59B6">
        <w:rPr>
          <w:b/>
          <w:sz w:val="20"/>
        </w:rPr>
        <w:br/>
        <w:t>consult your Programme or Module Handbook</w:t>
      </w:r>
    </w:p>
    <w:sectPr w:rsidR="00A73FE2" w:rsidRPr="000E59B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454"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065BB" w14:textId="77777777" w:rsidR="00055390" w:rsidRDefault="00055390">
      <w:r>
        <w:separator/>
      </w:r>
    </w:p>
  </w:endnote>
  <w:endnote w:type="continuationSeparator" w:id="0">
    <w:p w14:paraId="002807B7" w14:textId="77777777" w:rsidR="00055390" w:rsidRDefault="0005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Times">
    <w:altName w:val="Times New Roman"/>
    <w:panose1 w:val="00000500000000020000"/>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520D8" w14:textId="77777777" w:rsidR="00A73FE2" w:rsidRDefault="00107222">
    <w:pPr>
      <w:rPr>
        <w:i/>
        <w:sz w:val="18"/>
        <w:szCs w:val="18"/>
      </w:rPr>
    </w:pPr>
    <w:r>
      <w:rPr>
        <w:i/>
        <w:sz w:val="18"/>
        <w:szCs w:val="18"/>
      </w:rPr>
      <w:t>VC1-1: Introduction to Key Concepts in Art &amp; Design 1A</w:t>
    </w:r>
  </w:p>
  <w:p w14:paraId="2F39D756" w14:textId="29680C62" w:rsidR="001E67B0" w:rsidRDefault="001E67B0">
    <w:pPr>
      <w:rPr>
        <w:rFonts w:cs="Calibri"/>
        <w:i/>
        <w:color w:val="000000"/>
        <w:sz w:val="18"/>
        <w:szCs w:val="18"/>
      </w:rPr>
    </w:pPr>
    <w:r>
      <w:rPr>
        <w:rFonts w:cs="Calibri"/>
        <w:i/>
        <w:color w:val="000000"/>
        <w:sz w:val="18"/>
        <w:szCs w:val="18"/>
      </w:rPr>
      <w:tab/>
      <w:t xml:space="preserve">Page </w:t>
    </w:r>
    <w:r>
      <w:rPr>
        <w:rFonts w:cs="Calibri"/>
        <w:i/>
        <w:color w:val="000000"/>
        <w:sz w:val="18"/>
        <w:szCs w:val="18"/>
      </w:rPr>
      <w:fldChar w:fldCharType="begin"/>
    </w:r>
    <w:r>
      <w:rPr>
        <w:rFonts w:cs="Calibri"/>
        <w:i/>
        <w:color w:val="000000"/>
        <w:sz w:val="18"/>
        <w:szCs w:val="18"/>
      </w:rPr>
      <w:instrText>PAGE</w:instrText>
    </w:r>
    <w:r>
      <w:rPr>
        <w:rFonts w:cs="Calibri"/>
        <w:i/>
        <w:color w:val="000000"/>
        <w:sz w:val="18"/>
        <w:szCs w:val="18"/>
      </w:rPr>
      <w:fldChar w:fldCharType="end"/>
    </w:r>
    <w:r>
      <w:rPr>
        <w:rFonts w:cs="Calibri"/>
        <w:i/>
        <w:color w:val="000000"/>
        <w:sz w:val="18"/>
        <w:szCs w:val="18"/>
      </w:rPr>
      <w:t xml:space="preserve"> of </w:t>
    </w:r>
    <w:r>
      <w:rPr>
        <w:rFonts w:cs="Calibri"/>
        <w:i/>
        <w:color w:val="000000"/>
        <w:sz w:val="18"/>
        <w:szCs w:val="18"/>
      </w:rPr>
      <w:fldChar w:fldCharType="begin"/>
    </w:r>
    <w:r>
      <w:rPr>
        <w:rFonts w:cs="Calibri"/>
        <w:i/>
        <w:color w:val="000000"/>
        <w:sz w:val="18"/>
        <w:szCs w:val="18"/>
      </w:rPr>
      <w:instrText>NUMPAGES</w:instrText>
    </w:r>
    <w:r>
      <w:rPr>
        <w:rFonts w:cs="Calibri"/>
        <w:i/>
        <w:color w:val="000000"/>
        <w:sz w:val="18"/>
        <w:szCs w:val="18"/>
      </w:rPr>
      <w:fldChar w:fldCharType="separate"/>
    </w:r>
    <w:r w:rsidR="000F7C4C">
      <w:rPr>
        <w:rFonts w:cs="Calibri"/>
        <w:i/>
        <w:noProof/>
        <w:color w:val="000000"/>
        <w:sz w:val="18"/>
        <w:szCs w:val="18"/>
      </w:rPr>
      <w:t>4</w:t>
    </w:r>
    <w:r>
      <w:rPr>
        <w:rFonts w:cs="Calibri"/>
        <w:i/>
        <w:color w:val="000000"/>
        <w:sz w:val="18"/>
        <w:szCs w:val="18"/>
      </w:rPr>
      <w:fldChar w:fldCharType="end"/>
    </w:r>
    <w:r>
      <w:rPr>
        <w:rFonts w:cs="Calibri"/>
        <w:i/>
        <w:color w:val="000000"/>
        <w:sz w:val="18"/>
        <w:szCs w:val="18"/>
      </w:rPr>
      <w:tab/>
      <w:t>Module Descriptor</w:t>
    </w:r>
  </w:p>
  <w:p w14:paraId="5906C20D" w14:textId="77777777" w:rsidR="001E67B0" w:rsidRDefault="001E67B0">
    <w:pPr>
      <w:pBdr>
        <w:top w:val="none" w:sz="0" w:space="0" w:color="000000"/>
        <w:left w:val="nil"/>
        <w:bottom w:val="nil"/>
        <w:right w:val="nil"/>
        <w:between w:val="nil"/>
      </w:pBdr>
      <w:rPr>
        <w:rFonts w:cs="Calibri"/>
        <w:i/>
        <w:color w:val="000000"/>
        <w:sz w:val="18"/>
        <w:szCs w:val="18"/>
      </w:rPr>
    </w:pPr>
    <w:r>
      <w:rPr>
        <w:rFonts w:cs="Calibri"/>
        <w:i/>
        <w:color w:val="000000"/>
        <w:sz w:val="18"/>
        <w:szCs w:val="18"/>
      </w:rPr>
      <w:t>Published: June 2019</w:t>
    </w:r>
    <w:r>
      <w:rPr>
        <w:rFonts w:cs="Calibri"/>
        <w:i/>
        <w:color w:val="000000"/>
        <w:sz w:val="18"/>
        <w:szCs w:val="18"/>
      </w:rPr>
      <w:tab/>
    </w:r>
    <w:r>
      <w:rPr>
        <w:rFonts w:cs="Calibri"/>
        <w:i/>
        <w:color w:val="000000"/>
        <w:sz w:val="18"/>
        <w:szCs w:val="18"/>
      </w:rPr>
      <w:tab/>
      <w:t>Next review: June 2020</w:t>
    </w:r>
  </w:p>
  <w:p w14:paraId="734F5552" w14:textId="77777777" w:rsidR="00A73FE2" w:rsidRDefault="00107222">
    <w:pPr>
      <w:pBdr>
        <w:top w:val="none" w:sz="0" w:space="0" w:color="000000"/>
        <w:left w:val="nil"/>
        <w:bottom w:val="nil"/>
        <w:right w:val="nil"/>
        <w:between w:val="nil"/>
      </w:pBdr>
      <w:tabs>
        <w:tab w:val="center" w:pos="4513"/>
        <w:tab w:val="right" w:pos="9026"/>
      </w:tabs>
      <w:jc w:val="center"/>
      <w:rPr>
        <w:rFonts w:cs="Calibri"/>
        <w:color w:val="000000"/>
        <w:sz w:val="16"/>
        <w:szCs w:val="16"/>
      </w:rPr>
    </w:pPr>
    <w:r>
      <w:rPr>
        <w:rFonts w:cs="Calibri"/>
        <w:color w:val="000000"/>
        <w:sz w:val="16"/>
        <w:szCs w:val="16"/>
      </w:rPr>
      <w:t>This document was prepared for NCAD students.  It may not be reproduced in whole or part without permission from NCAD.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1E36F" w14:textId="77777777" w:rsidR="003861B2" w:rsidRDefault="003861B2" w:rsidP="003861B2">
    <w:pPr>
      <w:pBdr>
        <w:top w:val="single" w:sz="8" w:space="1" w:color="1F3864" w:themeColor="accent1" w:themeShade="80"/>
      </w:pBdr>
      <w:tabs>
        <w:tab w:val="center" w:pos="4820"/>
        <w:tab w:val="right" w:pos="9026"/>
      </w:tabs>
      <w:rPr>
        <w:rFonts w:cs="Calibri"/>
        <w:i/>
        <w:color w:val="000000"/>
        <w:sz w:val="18"/>
        <w:szCs w:val="18"/>
      </w:rPr>
    </w:pPr>
    <w:r>
      <w:rPr>
        <w:i/>
        <w:sz w:val="18"/>
        <w:szCs w:val="18"/>
      </w:rPr>
      <w:t>VC2-6 Understanding Digital Culture</w:t>
    </w:r>
    <w:r>
      <w:rPr>
        <w:rFonts w:cs="Calibri"/>
        <w:i/>
        <w:color w:val="000000"/>
        <w:sz w:val="18"/>
        <w:szCs w:val="18"/>
      </w:rPr>
      <w:tab/>
    </w:r>
    <w:r>
      <w:rPr>
        <w:rFonts w:cs="Calibri"/>
        <w:i/>
        <w:color w:val="000000"/>
        <w:sz w:val="18"/>
        <w:szCs w:val="18"/>
      </w:rPr>
      <w:tab/>
      <w:t>Module Descriptor</w:t>
    </w:r>
  </w:p>
  <w:p w14:paraId="62BEC681" w14:textId="34A7A611" w:rsidR="003861B2" w:rsidRPr="001E67B0" w:rsidRDefault="00986A63" w:rsidP="003861B2">
    <w:pPr>
      <w:tabs>
        <w:tab w:val="center" w:pos="4820"/>
        <w:tab w:val="right" w:pos="9026"/>
      </w:tabs>
      <w:rPr>
        <w:i/>
        <w:sz w:val="18"/>
        <w:szCs w:val="18"/>
      </w:rPr>
    </w:pPr>
    <w:r>
      <w:rPr>
        <w:rFonts w:cs="Calibri"/>
        <w:i/>
        <w:color w:val="000000"/>
        <w:sz w:val="18"/>
        <w:szCs w:val="18"/>
      </w:rPr>
      <w:t xml:space="preserve">Published: </w:t>
    </w:r>
    <w:r>
      <w:rPr>
        <w:i/>
        <w:sz w:val="18"/>
        <w:szCs w:val="18"/>
      </w:rPr>
      <w:t>September 2023</w:t>
    </w:r>
    <w:r w:rsidR="003861B2">
      <w:rPr>
        <w:i/>
        <w:sz w:val="18"/>
        <w:szCs w:val="18"/>
      </w:rPr>
      <w:tab/>
    </w:r>
    <w:r w:rsidR="003861B2">
      <w:rPr>
        <w:rFonts w:cs="Calibri"/>
        <w:i/>
        <w:color w:val="000000"/>
        <w:sz w:val="18"/>
        <w:szCs w:val="18"/>
      </w:rPr>
      <w:t xml:space="preserve">Page </w:t>
    </w:r>
    <w:r w:rsidR="003861B2">
      <w:rPr>
        <w:rFonts w:cs="Calibri"/>
        <w:i/>
        <w:color w:val="000000"/>
        <w:sz w:val="18"/>
        <w:szCs w:val="18"/>
      </w:rPr>
      <w:fldChar w:fldCharType="begin"/>
    </w:r>
    <w:r w:rsidR="003861B2">
      <w:rPr>
        <w:rFonts w:cs="Calibri"/>
        <w:i/>
        <w:color w:val="000000"/>
        <w:sz w:val="18"/>
        <w:szCs w:val="18"/>
      </w:rPr>
      <w:instrText>PAGE</w:instrText>
    </w:r>
    <w:r w:rsidR="003861B2">
      <w:rPr>
        <w:rFonts w:cs="Calibri"/>
        <w:i/>
        <w:color w:val="000000"/>
        <w:sz w:val="18"/>
        <w:szCs w:val="18"/>
      </w:rPr>
      <w:fldChar w:fldCharType="separate"/>
    </w:r>
    <w:r w:rsidR="003861B2">
      <w:rPr>
        <w:rFonts w:cs="Calibri"/>
        <w:i/>
        <w:color w:val="000000"/>
        <w:sz w:val="18"/>
        <w:szCs w:val="18"/>
      </w:rPr>
      <w:t>1</w:t>
    </w:r>
    <w:r w:rsidR="003861B2">
      <w:rPr>
        <w:rFonts w:cs="Calibri"/>
        <w:i/>
        <w:color w:val="000000"/>
        <w:sz w:val="18"/>
        <w:szCs w:val="18"/>
      </w:rPr>
      <w:fldChar w:fldCharType="end"/>
    </w:r>
    <w:r w:rsidR="003861B2">
      <w:rPr>
        <w:rFonts w:cs="Calibri"/>
        <w:i/>
        <w:color w:val="000000"/>
        <w:sz w:val="18"/>
        <w:szCs w:val="18"/>
      </w:rPr>
      <w:t xml:space="preserve"> of </w:t>
    </w:r>
    <w:r w:rsidR="003861B2">
      <w:rPr>
        <w:rFonts w:cs="Calibri"/>
        <w:i/>
        <w:color w:val="000000"/>
        <w:sz w:val="18"/>
        <w:szCs w:val="18"/>
      </w:rPr>
      <w:fldChar w:fldCharType="begin"/>
    </w:r>
    <w:r w:rsidR="003861B2">
      <w:rPr>
        <w:rFonts w:cs="Calibri"/>
        <w:i/>
        <w:color w:val="000000"/>
        <w:sz w:val="18"/>
        <w:szCs w:val="18"/>
      </w:rPr>
      <w:instrText>NUMPAGES</w:instrText>
    </w:r>
    <w:r w:rsidR="003861B2">
      <w:rPr>
        <w:rFonts w:cs="Calibri"/>
        <w:i/>
        <w:color w:val="000000"/>
        <w:sz w:val="18"/>
        <w:szCs w:val="18"/>
      </w:rPr>
      <w:fldChar w:fldCharType="separate"/>
    </w:r>
    <w:r w:rsidR="003861B2">
      <w:rPr>
        <w:rFonts w:cs="Calibri"/>
        <w:i/>
        <w:color w:val="000000"/>
        <w:sz w:val="18"/>
        <w:szCs w:val="18"/>
      </w:rPr>
      <w:t>4</w:t>
    </w:r>
    <w:r w:rsidR="003861B2">
      <w:rPr>
        <w:rFonts w:cs="Calibri"/>
        <w:i/>
        <w:color w:val="000000"/>
        <w:sz w:val="18"/>
        <w:szCs w:val="18"/>
      </w:rPr>
      <w:fldChar w:fldCharType="end"/>
    </w:r>
    <w:r w:rsidR="003861B2" w:rsidRPr="001E67B0">
      <w:rPr>
        <w:i/>
        <w:sz w:val="18"/>
        <w:szCs w:val="18"/>
      </w:rPr>
      <w:tab/>
    </w:r>
    <w:bookmarkStart w:id="0" w:name="_GoBack"/>
    <w:bookmarkEnd w:id="0"/>
  </w:p>
  <w:p w14:paraId="577FE573" w14:textId="77777777" w:rsidR="001E67B0" w:rsidRPr="00C94E1E" w:rsidRDefault="001E67B0" w:rsidP="001E67B0">
    <w:pPr>
      <w:pBdr>
        <w:top w:val="none" w:sz="0" w:space="0" w:color="000000"/>
        <w:left w:val="nil"/>
        <w:bottom w:val="nil"/>
        <w:right w:val="nil"/>
        <w:between w:val="nil"/>
      </w:pBdr>
      <w:tabs>
        <w:tab w:val="center" w:pos="4513"/>
        <w:tab w:val="right" w:pos="9026"/>
      </w:tabs>
      <w:jc w:val="center"/>
      <w:rPr>
        <w:rFonts w:cs="Calibri"/>
        <w:i/>
        <w:color w:val="000000"/>
        <w:sz w:val="16"/>
        <w:szCs w:val="18"/>
      </w:rPr>
    </w:pPr>
    <w:r w:rsidRPr="00C94E1E">
      <w:rPr>
        <w:rFonts w:cs="Calibri"/>
        <w:i/>
        <w:color w:val="000000"/>
        <w:sz w:val="16"/>
        <w:szCs w:val="18"/>
      </w:rPr>
      <w:t>This document was prepared for NCAD students.  It may not be reproduced in whole or part without permission from NCAD.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106CE" w14:textId="69E4E8CF" w:rsidR="001E67B0" w:rsidRDefault="001E67B0" w:rsidP="001E67B0">
    <w:pPr>
      <w:pBdr>
        <w:top w:val="single" w:sz="8" w:space="1" w:color="1F3864" w:themeColor="accent1" w:themeShade="80"/>
      </w:pBdr>
      <w:tabs>
        <w:tab w:val="center" w:pos="4820"/>
        <w:tab w:val="right" w:pos="9026"/>
      </w:tabs>
      <w:rPr>
        <w:rFonts w:cs="Calibri"/>
        <w:i/>
        <w:color w:val="000000"/>
        <w:sz w:val="18"/>
        <w:szCs w:val="18"/>
      </w:rPr>
    </w:pPr>
    <w:r>
      <w:rPr>
        <w:i/>
        <w:sz w:val="18"/>
        <w:szCs w:val="18"/>
      </w:rPr>
      <w:t>VC2-6 Understanding Digital Culture</w:t>
    </w:r>
    <w:r>
      <w:rPr>
        <w:rFonts w:cs="Calibri"/>
        <w:i/>
        <w:color w:val="000000"/>
        <w:sz w:val="18"/>
        <w:szCs w:val="18"/>
      </w:rPr>
      <w:tab/>
    </w:r>
    <w:r>
      <w:rPr>
        <w:rFonts w:cs="Calibri"/>
        <w:i/>
        <w:color w:val="000000"/>
        <w:sz w:val="18"/>
        <w:szCs w:val="18"/>
      </w:rPr>
      <w:tab/>
      <w:t>Module Descriptor</w:t>
    </w:r>
  </w:p>
  <w:p w14:paraId="27961354" w14:textId="2B5B7502" w:rsidR="001E67B0" w:rsidRPr="001E67B0" w:rsidRDefault="00986A63" w:rsidP="001E67B0">
    <w:pPr>
      <w:tabs>
        <w:tab w:val="center" w:pos="4820"/>
        <w:tab w:val="right" w:pos="9026"/>
      </w:tabs>
      <w:rPr>
        <w:i/>
        <w:sz w:val="18"/>
        <w:szCs w:val="18"/>
      </w:rPr>
    </w:pPr>
    <w:r>
      <w:rPr>
        <w:rFonts w:cs="Calibri"/>
        <w:i/>
        <w:color w:val="000000"/>
        <w:sz w:val="18"/>
        <w:szCs w:val="18"/>
      </w:rPr>
      <w:t xml:space="preserve">Published: </w:t>
    </w:r>
    <w:r>
      <w:rPr>
        <w:i/>
        <w:sz w:val="18"/>
        <w:szCs w:val="18"/>
      </w:rPr>
      <w:t>September 2023</w:t>
    </w:r>
    <w:r w:rsidR="001E67B0">
      <w:rPr>
        <w:i/>
        <w:sz w:val="18"/>
        <w:szCs w:val="18"/>
      </w:rPr>
      <w:tab/>
    </w:r>
    <w:r w:rsidR="003861B2">
      <w:rPr>
        <w:rFonts w:cs="Calibri"/>
        <w:i/>
        <w:color w:val="000000"/>
        <w:sz w:val="18"/>
        <w:szCs w:val="18"/>
      </w:rPr>
      <w:t xml:space="preserve">Page </w:t>
    </w:r>
    <w:r w:rsidR="003861B2">
      <w:rPr>
        <w:rFonts w:cs="Calibri"/>
        <w:i/>
        <w:color w:val="000000"/>
        <w:sz w:val="18"/>
        <w:szCs w:val="18"/>
      </w:rPr>
      <w:fldChar w:fldCharType="begin"/>
    </w:r>
    <w:r w:rsidR="003861B2">
      <w:rPr>
        <w:rFonts w:cs="Calibri"/>
        <w:i/>
        <w:color w:val="000000"/>
        <w:sz w:val="18"/>
        <w:szCs w:val="18"/>
      </w:rPr>
      <w:instrText>PAGE</w:instrText>
    </w:r>
    <w:r w:rsidR="003861B2">
      <w:rPr>
        <w:rFonts w:cs="Calibri"/>
        <w:i/>
        <w:color w:val="000000"/>
        <w:sz w:val="18"/>
        <w:szCs w:val="18"/>
      </w:rPr>
      <w:fldChar w:fldCharType="separate"/>
    </w:r>
    <w:r w:rsidR="003861B2">
      <w:rPr>
        <w:rFonts w:cs="Calibri"/>
        <w:i/>
        <w:color w:val="000000"/>
        <w:sz w:val="18"/>
        <w:szCs w:val="18"/>
      </w:rPr>
      <w:t>1</w:t>
    </w:r>
    <w:r w:rsidR="003861B2">
      <w:rPr>
        <w:rFonts w:cs="Calibri"/>
        <w:i/>
        <w:color w:val="000000"/>
        <w:sz w:val="18"/>
        <w:szCs w:val="18"/>
      </w:rPr>
      <w:fldChar w:fldCharType="end"/>
    </w:r>
    <w:r w:rsidR="003861B2">
      <w:rPr>
        <w:rFonts w:cs="Calibri"/>
        <w:i/>
        <w:color w:val="000000"/>
        <w:sz w:val="18"/>
        <w:szCs w:val="18"/>
      </w:rPr>
      <w:t xml:space="preserve"> of </w:t>
    </w:r>
    <w:r w:rsidR="003861B2">
      <w:rPr>
        <w:rFonts w:cs="Calibri"/>
        <w:i/>
        <w:color w:val="000000"/>
        <w:sz w:val="18"/>
        <w:szCs w:val="18"/>
      </w:rPr>
      <w:fldChar w:fldCharType="begin"/>
    </w:r>
    <w:r w:rsidR="003861B2">
      <w:rPr>
        <w:rFonts w:cs="Calibri"/>
        <w:i/>
        <w:color w:val="000000"/>
        <w:sz w:val="18"/>
        <w:szCs w:val="18"/>
      </w:rPr>
      <w:instrText>NUMPAGES</w:instrText>
    </w:r>
    <w:r w:rsidR="003861B2">
      <w:rPr>
        <w:rFonts w:cs="Calibri"/>
        <w:i/>
        <w:color w:val="000000"/>
        <w:sz w:val="18"/>
        <w:szCs w:val="18"/>
      </w:rPr>
      <w:fldChar w:fldCharType="separate"/>
    </w:r>
    <w:r w:rsidR="003861B2">
      <w:rPr>
        <w:rFonts w:cs="Calibri"/>
        <w:i/>
        <w:color w:val="000000"/>
        <w:sz w:val="18"/>
        <w:szCs w:val="18"/>
      </w:rPr>
      <w:t>4</w:t>
    </w:r>
    <w:r w:rsidR="003861B2">
      <w:rPr>
        <w:rFonts w:cs="Calibri"/>
        <w:i/>
        <w:color w:val="000000"/>
        <w:sz w:val="18"/>
        <w:szCs w:val="18"/>
      </w:rPr>
      <w:fldChar w:fldCharType="end"/>
    </w:r>
    <w:r w:rsidR="001E67B0" w:rsidRPr="001E67B0">
      <w:rPr>
        <w:i/>
        <w:sz w:val="18"/>
        <w:szCs w:val="18"/>
      </w:rPr>
      <w:tab/>
    </w:r>
  </w:p>
  <w:p w14:paraId="6AE8DF6E" w14:textId="77777777" w:rsidR="00A73FE2" w:rsidRPr="00C94E1E" w:rsidRDefault="00107222" w:rsidP="00C94E1E">
    <w:pPr>
      <w:pBdr>
        <w:top w:val="none" w:sz="0" w:space="0" w:color="000000"/>
        <w:left w:val="nil"/>
        <w:bottom w:val="nil"/>
        <w:right w:val="nil"/>
        <w:between w:val="nil"/>
      </w:pBdr>
      <w:tabs>
        <w:tab w:val="center" w:pos="4513"/>
        <w:tab w:val="right" w:pos="9026"/>
      </w:tabs>
      <w:jc w:val="center"/>
      <w:rPr>
        <w:rFonts w:cs="Calibri"/>
        <w:i/>
        <w:color w:val="000000"/>
        <w:sz w:val="16"/>
        <w:szCs w:val="18"/>
      </w:rPr>
    </w:pPr>
    <w:r w:rsidRPr="00C94E1E">
      <w:rPr>
        <w:rFonts w:cs="Calibri"/>
        <w:i/>
        <w:color w:val="000000"/>
        <w:sz w:val="16"/>
        <w:szCs w:val="18"/>
      </w:rPr>
      <w:t>This document was prepared for NCAD students.  It may not be reproduced in whole or part without permission from NCAD.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40954" w14:textId="77777777" w:rsidR="00055390" w:rsidRDefault="00055390">
      <w:r>
        <w:separator/>
      </w:r>
    </w:p>
  </w:footnote>
  <w:footnote w:type="continuationSeparator" w:id="0">
    <w:p w14:paraId="62F8F26C" w14:textId="77777777" w:rsidR="00055390" w:rsidRDefault="00055390">
      <w:r>
        <w:continuationSeparator/>
      </w:r>
    </w:p>
  </w:footnote>
  <w:footnote w:id="1">
    <w:p w14:paraId="1B1B244A" w14:textId="05049186" w:rsidR="00010674" w:rsidRDefault="00010674">
      <w:pPr>
        <w:pStyle w:val="FootnoteText"/>
      </w:pPr>
      <w:r>
        <w:rPr>
          <w:rStyle w:val="FootnoteReference"/>
        </w:rPr>
        <w:footnoteRef/>
      </w:r>
      <w:r>
        <w:t xml:space="preserve"> European Credit Transfer and Accumulation System, where 60 ECTS credits equate to the workload of a full-time academic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C0B5B" w14:textId="77777777" w:rsidR="00A73FE2" w:rsidRDefault="00107222">
    <w:pPr>
      <w:pBdr>
        <w:top w:val="nil"/>
        <w:left w:val="nil"/>
        <w:bottom w:val="nil"/>
        <w:right w:val="nil"/>
        <w:between w:val="nil"/>
      </w:pBdr>
      <w:tabs>
        <w:tab w:val="center" w:pos="4513"/>
        <w:tab w:val="right" w:pos="9026"/>
      </w:tabs>
      <w:rPr>
        <w:rFonts w:cs="Calibri"/>
        <w:color w:val="000000"/>
      </w:rPr>
    </w:pPr>
    <w:r>
      <w:rPr>
        <w:rFonts w:cs="Calibri"/>
        <w:noProof/>
        <w:color w:val="000000"/>
        <w:lang w:eastAsia="en-IE"/>
      </w:rPr>
      <w:drawing>
        <wp:inline distT="0" distB="0" distL="0" distR="0" wp14:anchorId="47D91CE6" wp14:editId="6F369059">
          <wp:extent cx="1088136" cy="457200"/>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88136" cy="4572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707CD" w14:textId="74AB4444" w:rsidR="00A73FE2" w:rsidRPr="00C94E1E" w:rsidRDefault="003861B2">
    <w:pPr>
      <w:pBdr>
        <w:top w:val="nil"/>
        <w:left w:val="nil"/>
        <w:bottom w:val="nil"/>
        <w:right w:val="nil"/>
        <w:between w:val="nil"/>
      </w:pBdr>
      <w:tabs>
        <w:tab w:val="center" w:pos="4513"/>
        <w:tab w:val="right" w:pos="9026"/>
      </w:tabs>
      <w:jc w:val="right"/>
      <w:rPr>
        <w:rFonts w:cs="Calibri"/>
        <w:color w:val="000000"/>
      </w:rPr>
    </w:pPr>
    <w:r>
      <w:rPr>
        <w:rFonts w:cs="Calibri"/>
        <w:noProof/>
        <w:color w:val="000000"/>
      </w:rPr>
      <w:drawing>
        <wp:inline distT="0" distB="0" distL="0" distR="0" wp14:anchorId="6966DD30" wp14:editId="720335DF">
          <wp:extent cx="900000" cy="39526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_NCAD_Logo Pg 1 HEADER.jpg"/>
                  <pic:cNvPicPr/>
                </pic:nvPicPr>
                <pic:blipFill>
                  <a:blip r:embed="rId1">
                    <a:extLst>
                      <a:ext uri="{28A0092B-C50C-407E-A947-70E740481C1C}">
                        <a14:useLocalDpi xmlns:a14="http://schemas.microsoft.com/office/drawing/2010/main" val="0"/>
                      </a:ext>
                    </a:extLst>
                  </a:blip>
                  <a:stretch>
                    <a:fillRect/>
                  </a:stretch>
                </pic:blipFill>
                <pic:spPr>
                  <a:xfrm>
                    <a:off x="0" y="0"/>
                    <a:ext cx="900000" cy="3952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425DF" w14:textId="774D037B" w:rsidR="00A73FE2" w:rsidRDefault="003861B2">
    <w:pPr>
      <w:pBdr>
        <w:top w:val="nil"/>
        <w:left w:val="nil"/>
        <w:bottom w:val="nil"/>
        <w:right w:val="nil"/>
        <w:between w:val="nil"/>
      </w:pBdr>
      <w:tabs>
        <w:tab w:val="center" w:pos="4513"/>
        <w:tab w:val="right" w:pos="9026"/>
        <w:tab w:val="right" w:pos="13892"/>
      </w:tabs>
      <w:jc w:val="right"/>
      <w:rPr>
        <w:rFonts w:cs="Calibri"/>
        <w:color w:val="000000"/>
      </w:rPr>
    </w:pPr>
    <w:r>
      <w:rPr>
        <w:rFonts w:cs="Calibri"/>
        <w:noProof/>
        <w:color w:val="000000"/>
      </w:rPr>
      <w:drawing>
        <wp:inline distT="0" distB="0" distL="0" distR="0" wp14:anchorId="608B80A4" wp14:editId="193332FC">
          <wp:extent cx="1080000" cy="474323"/>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_NCAD_Logo Pg 1 HEADER.jpg"/>
                  <pic:cNvPicPr/>
                </pic:nvPicPr>
                <pic:blipFill>
                  <a:blip r:embed="rId1">
                    <a:extLst>
                      <a:ext uri="{28A0092B-C50C-407E-A947-70E740481C1C}">
                        <a14:useLocalDpi xmlns:a14="http://schemas.microsoft.com/office/drawing/2010/main" val="0"/>
                      </a:ext>
                    </a:extLst>
                  </a:blip>
                  <a:stretch>
                    <a:fillRect/>
                  </a:stretch>
                </pic:blipFill>
                <pic:spPr>
                  <a:xfrm>
                    <a:off x="0" y="0"/>
                    <a:ext cx="1080000" cy="4743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43F3A"/>
    <w:multiLevelType w:val="multilevel"/>
    <w:tmpl w:val="CBDAFA9A"/>
    <w:lvl w:ilvl="0">
      <w:start w:val="1"/>
      <w:numFmt w:val="decimal"/>
      <w:pStyle w:val="Bullets"/>
      <w:lvlText w:val="%1."/>
      <w:lvlJc w:val="left"/>
      <w:pPr>
        <w:ind w:left="720" w:hanging="360"/>
      </w:pPr>
      <w:rPr>
        <w:rFonts w:ascii="Calibri" w:eastAsia="Calibri" w:hAnsi="Calibri" w:cs="Calibri"/>
        <w:b w:val="0"/>
        <w:i w:val="0"/>
        <w:sz w:val="22"/>
        <w:szCs w:val="22"/>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4C0C39C7"/>
    <w:multiLevelType w:val="multilevel"/>
    <w:tmpl w:val="A972F8E2"/>
    <w:lvl w:ilvl="0">
      <w:start w:val="1"/>
      <w:numFmt w:val="decimal"/>
      <w:lvlText w:val="%1."/>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54185D79"/>
    <w:multiLevelType w:val="hybridMultilevel"/>
    <w:tmpl w:val="730CEEE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15:restartNumberingAfterBreak="0">
    <w:nsid w:val="7FDC6A8E"/>
    <w:multiLevelType w:val="hybridMultilevel"/>
    <w:tmpl w:val="C03C5F10"/>
    <w:lvl w:ilvl="0" w:tplc="40EC202C">
      <w:start w:val="1"/>
      <w:numFmt w:val="decimal"/>
      <w:pStyle w:val="Heading2"/>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9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FE2"/>
    <w:rsid w:val="00010674"/>
    <w:rsid w:val="00055390"/>
    <w:rsid w:val="00093C70"/>
    <w:rsid w:val="000E59B6"/>
    <w:rsid w:val="000F7C4C"/>
    <w:rsid w:val="00107222"/>
    <w:rsid w:val="001D1A99"/>
    <w:rsid w:val="001E1970"/>
    <w:rsid w:val="001E67B0"/>
    <w:rsid w:val="0029335D"/>
    <w:rsid w:val="003725D2"/>
    <w:rsid w:val="003861B2"/>
    <w:rsid w:val="003B4738"/>
    <w:rsid w:val="003B62AB"/>
    <w:rsid w:val="003F68D2"/>
    <w:rsid w:val="00501345"/>
    <w:rsid w:val="00870559"/>
    <w:rsid w:val="00916985"/>
    <w:rsid w:val="00986A63"/>
    <w:rsid w:val="009C6970"/>
    <w:rsid w:val="00A73FE2"/>
    <w:rsid w:val="00AD42C3"/>
    <w:rsid w:val="00B14C32"/>
    <w:rsid w:val="00C94E1E"/>
    <w:rsid w:val="00CA0D6D"/>
    <w:rsid w:val="00CB282B"/>
    <w:rsid w:val="00E061AE"/>
    <w:rsid w:val="00EC1E24"/>
    <w:rsid w:val="00EC49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E1F91"/>
  <w15:docId w15:val="{7862075A-9C36-479B-9BD6-17045C97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3A6"/>
    <w:rPr>
      <w:rFonts w:cs="Times New Roman"/>
    </w:rPr>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Spacing"/>
    <w:next w:val="Normal"/>
    <w:link w:val="Heading2Char"/>
    <w:uiPriority w:val="9"/>
    <w:unhideWhenUsed/>
    <w:qFormat/>
    <w:rsid w:val="000E59B6"/>
    <w:pPr>
      <w:keepNext/>
      <w:keepLines/>
      <w:numPr>
        <w:numId w:val="3"/>
      </w:numPr>
      <w:pBdr>
        <w:bottom w:val="single" w:sz="8" w:space="1" w:color="2E74B5" w:themeColor="accent5" w:themeShade="BF"/>
      </w:pBdr>
      <w:spacing w:before="360" w:after="120"/>
      <w:ind w:left="567" w:hanging="567"/>
      <w:outlineLvl w:val="1"/>
    </w:pPr>
    <w:rPr>
      <w:rFonts w:eastAsia="Arial" w:cs="Calibri"/>
      <w:color w:val="1F4E79" w:themeColor="accent5" w:themeShade="80"/>
      <w:sz w:val="28"/>
      <w:szCs w:val="26"/>
    </w:rPr>
  </w:style>
  <w:style w:type="paragraph" w:styleId="Heading3">
    <w:name w:val="heading 3"/>
    <w:basedOn w:val="Heading4"/>
    <w:next w:val="Normal"/>
    <w:link w:val="Heading3Char"/>
    <w:uiPriority w:val="9"/>
    <w:unhideWhenUsed/>
    <w:qFormat/>
    <w:rsid w:val="000E59B6"/>
    <w:pPr>
      <w:keepNext/>
      <w:spacing w:before="240" w:after="120"/>
      <w:outlineLvl w:val="2"/>
    </w:pPr>
    <w:rPr>
      <w:sz w:val="24"/>
    </w:rPr>
  </w:style>
  <w:style w:type="paragraph" w:styleId="Heading4">
    <w:name w:val="heading 4"/>
    <w:basedOn w:val="Normal"/>
    <w:next w:val="Normal"/>
    <w:link w:val="Heading4Char"/>
    <w:uiPriority w:val="9"/>
    <w:unhideWhenUsed/>
    <w:qFormat/>
    <w:rsid w:val="005513A6"/>
    <w:pPr>
      <w:outlineLvl w:val="3"/>
    </w:pPr>
    <w:rPr>
      <w:rFonts w:asciiTheme="minorHAnsi" w:hAnsiTheme="minorHAnsi" w:cstheme="minorHAnsi"/>
      <w:b/>
      <w:color w:val="1F4E79" w:themeColor="accent5" w:themeShade="80"/>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0E59B6"/>
    <w:rPr>
      <w:rFonts w:eastAsia="Arial"/>
      <w:color w:val="1F4E79" w:themeColor="accent5" w:themeShade="80"/>
      <w:sz w:val="28"/>
      <w:szCs w:val="26"/>
    </w:rPr>
  </w:style>
  <w:style w:type="character" w:customStyle="1" w:styleId="Heading3Char">
    <w:name w:val="Heading 3 Char"/>
    <w:basedOn w:val="DefaultParagraphFont"/>
    <w:link w:val="Heading3"/>
    <w:uiPriority w:val="9"/>
    <w:rsid w:val="000E59B6"/>
    <w:rPr>
      <w:rFonts w:asciiTheme="minorHAnsi" w:hAnsiTheme="minorHAnsi" w:cstheme="minorHAnsi"/>
      <w:b/>
      <w:color w:val="1F4E79" w:themeColor="accent5" w:themeShade="80"/>
      <w:sz w:val="24"/>
    </w:rPr>
  </w:style>
  <w:style w:type="character" w:customStyle="1" w:styleId="Heading4Char">
    <w:name w:val="Heading 4 Char"/>
    <w:basedOn w:val="DefaultParagraphFont"/>
    <w:link w:val="Heading4"/>
    <w:uiPriority w:val="9"/>
    <w:rsid w:val="005513A6"/>
    <w:rPr>
      <w:rFonts w:eastAsia="Calibri" w:cstheme="minorHAnsi"/>
      <w:b/>
      <w:color w:val="1F4E79" w:themeColor="accent5" w:themeShade="80"/>
      <w:sz w:val="22"/>
      <w:szCs w:val="22"/>
      <w:lang w:val="en-IE"/>
    </w:rPr>
  </w:style>
  <w:style w:type="paragraph" w:styleId="NoSpacing">
    <w:name w:val="No Spacing"/>
    <w:basedOn w:val="Normal"/>
    <w:uiPriority w:val="99"/>
    <w:qFormat/>
    <w:rsid w:val="005513A6"/>
    <w:rPr>
      <w:sz w:val="20"/>
    </w:rPr>
  </w:style>
  <w:style w:type="paragraph" w:styleId="Header">
    <w:name w:val="header"/>
    <w:basedOn w:val="Normal"/>
    <w:link w:val="HeaderChar"/>
    <w:uiPriority w:val="99"/>
    <w:rsid w:val="005513A6"/>
    <w:pPr>
      <w:tabs>
        <w:tab w:val="center" w:pos="4513"/>
        <w:tab w:val="right" w:pos="9026"/>
      </w:tabs>
    </w:pPr>
  </w:style>
  <w:style w:type="character" w:customStyle="1" w:styleId="HeaderChar">
    <w:name w:val="Header Char"/>
    <w:basedOn w:val="DefaultParagraphFont"/>
    <w:link w:val="Header"/>
    <w:uiPriority w:val="99"/>
    <w:rsid w:val="005513A6"/>
    <w:rPr>
      <w:rFonts w:ascii="Calibri" w:eastAsia="Calibri" w:hAnsi="Calibri" w:cs="Times New Roman"/>
      <w:sz w:val="22"/>
      <w:lang w:val="en-IE"/>
    </w:rPr>
  </w:style>
  <w:style w:type="paragraph" w:styleId="Footer">
    <w:name w:val="footer"/>
    <w:basedOn w:val="Normal"/>
    <w:link w:val="FooterChar"/>
    <w:uiPriority w:val="99"/>
    <w:qFormat/>
    <w:rsid w:val="005513A6"/>
    <w:pPr>
      <w:pBdr>
        <w:top w:val="single" w:sz="4" w:space="1" w:color="auto"/>
      </w:pBdr>
      <w:tabs>
        <w:tab w:val="center" w:pos="4513"/>
        <w:tab w:val="right" w:pos="9026"/>
      </w:tabs>
    </w:pPr>
    <w:rPr>
      <w:i/>
      <w:sz w:val="18"/>
    </w:rPr>
  </w:style>
  <w:style w:type="character" w:customStyle="1" w:styleId="FooterChar">
    <w:name w:val="Footer Char"/>
    <w:basedOn w:val="DefaultParagraphFont"/>
    <w:link w:val="Footer"/>
    <w:uiPriority w:val="99"/>
    <w:rsid w:val="005513A6"/>
    <w:rPr>
      <w:rFonts w:ascii="Calibri" w:eastAsia="Calibri" w:hAnsi="Calibri" w:cs="Times New Roman"/>
      <w:i/>
      <w:sz w:val="18"/>
      <w:lang w:val="en-IE"/>
    </w:rPr>
  </w:style>
  <w:style w:type="character" w:styleId="CommentReference">
    <w:name w:val="annotation reference"/>
    <w:basedOn w:val="DefaultParagraphFont"/>
    <w:uiPriority w:val="99"/>
    <w:semiHidden/>
    <w:unhideWhenUsed/>
    <w:rsid w:val="005513A6"/>
    <w:rPr>
      <w:sz w:val="16"/>
      <w:szCs w:val="16"/>
    </w:rPr>
  </w:style>
  <w:style w:type="paragraph" w:styleId="CommentText">
    <w:name w:val="annotation text"/>
    <w:basedOn w:val="Normal"/>
    <w:link w:val="CommentTextChar"/>
    <w:uiPriority w:val="99"/>
    <w:unhideWhenUsed/>
    <w:rsid w:val="005513A6"/>
    <w:rPr>
      <w:sz w:val="20"/>
      <w:szCs w:val="20"/>
    </w:rPr>
  </w:style>
  <w:style w:type="character" w:customStyle="1" w:styleId="CommentTextChar">
    <w:name w:val="Comment Text Char"/>
    <w:basedOn w:val="DefaultParagraphFont"/>
    <w:link w:val="CommentText"/>
    <w:uiPriority w:val="99"/>
    <w:rsid w:val="005513A6"/>
    <w:rPr>
      <w:rFonts w:ascii="Calibri" w:eastAsia="Calibri" w:hAnsi="Calibri" w:cs="Times New Roman"/>
      <w:sz w:val="20"/>
      <w:szCs w:val="20"/>
      <w:lang w:val="en-IE"/>
    </w:rPr>
  </w:style>
  <w:style w:type="paragraph" w:styleId="ListParagraph">
    <w:name w:val="List Paragraph"/>
    <w:basedOn w:val="Normal"/>
    <w:link w:val="ListParagraphChar"/>
    <w:uiPriority w:val="34"/>
    <w:qFormat/>
    <w:rsid w:val="003725D2"/>
    <w:pPr>
      <w:spacing w:after="120" w:line="276" w:lineRule="auto"/>
    </w:pPr>
  </w:style>
  <w:style w:type="paragraph" w:styleId="FootnoteText">
    <w:name w:val="footnote text"/>
    <w:basedOn w:val="Normal"/>
    <w:link w:val="FootnoteTextChar"/>
    <w:uiPriority w:val="99"/>
    <w:semiHidden/>
    <w:unhideWhenUsed/>
    <w:rsid w:val="005513A6"/>
    <w:rPr>
      <w:sz w:val="20"/>
      <w:szCs w:val="20"/>
    </w:rPr>
  </w:style>
  <w:style w:type="character" w:customStyle="1" w:styleId="FootnoteTextChar">
    <w:name w:val="Footnote Text Char"/>
    <w:basedOn w:val="DefaultParagraphFont"/>
    <w:link w:val="FootnoteText"/>
    <w:uiPriority w:val="99"/>
    <w:semiHidden/>
    <w:rsid w:val="005513A6"/>
    <w:rPr>
      <w:rFonts w:ascii="Calibri" w:eastAsia="Calibri" w:hAnsi="Calibri" w:cs="Times New Roman"/>
      <w:sz w:val="20"/>
      <w:szCs w:val="20"/>
      <w:lang w:val="en-IE"/>
    </w:rPr>
  </w:style>
  <w:style w:type="character" w:styleId="FootnoteReference">
    <w:name w:val="footnote reference"/>
    <w:basedOn w:val="DefaultParagraphFont"/>
    <w:uiPriority w:val="99"/>
    <w:semiHidden/>
    <w:unhideWhenUsed/>
    <w:rsid w:val="005513A6"/>
    <w:rPr>
      <w:vertAlign w:val="superscript"/>
    </w:rPr>
  </w:style>
  <w:style w:type="paragraph" w:customStyle="1" w:styleId="MediumGrid21">
    <w:name w:val="Medium Grid 21"/>
    <w:semiHidden/>
    <w:qFormat/>
    <w:rsid w:val="005513A6"/>
    <w:rPr>
      <w:rFonts w:ascii="Cambria" w:eastAsia="Times New Roman" w:hAnsi="Cambria" w:cs="Times New Roman"/>
    </w:rPr>
  </w:style>
  <w:style w:type="table" w:styleId="GridTable2-Accent5">
    <w:name w:val="Grid Table 2 Accent 5"/>
    <w:basedOn w:val="TableNormal"/>
    <w:uiPriority w:val="47"/>
    <w:rsid w:val="005513A6"/>
    <w:rPr>
      <w:rFonts w:ascii="Arial" w:hAnsi="Arial" w:cs="Arial"/>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Bullets">
    <w:name w:val="Bullets"/>
    <w:basedOn w:val="ListParagraph"/>
    <w:link w:val="BulletsChar"/>
    <w:qFormat/>
    <w:rsid w:val="005513A6"/>
    <w:pPr>
      <w:numPr>
        <w:numId w:val="1"/>
      </w:numPr>
      <w:spacing w:before="120" w:after="0"/>
      <w:ind w:left="714" w:hanging="357"/>
    </w:pPr>
  </w:style>
  <w:style w:type="character" w:customStyle="1" w:styleId="ListParagraphChar">
    <w:name w:val="List Paragraph Char"/>
    <w:basedOn w:val="DefaultParagraphFont"/>
    <w:link w:val="ListParagraph"/>
    <w:uiPriority w:val="34"/>
    <w:rsid w:val="003725D2"/>
    <w:rPr>
      <w:rFonts w:cs="Times New Roman"/>
    </w:rPr>
  </w:style>
  <w:style w:type="character" w:customStyle="1" w:styleId="BulletsChar">
    <w:name w:val="Bullets Char"/>
    <w:basedOn w:val="ListParagraphChar"/>
    <w:link w:val="Bullets"/>
    <w:rsid w:val="005513A6"/>
    <w:rPr>
      <w:rFonts w:ascii="Calibri" w:eastAsia="Calibri" w:hAnsi="Calibri" w:cs="Times New Roman"/>
      <w:sz w:val="22"/>
      <w:szCs w:val="22"/>
      <w:lang w:val="en-I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7">
    <w:name w:val="7"/>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6">
    <w:name w:val="6"/>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3">
    <w:name w:val="3"/>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2">
    <w:name w:val="2"/>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1">
    <w:name w:val="1"/>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character" w:customStyle="1" w:styleId="Heading1Char">
    <w:name w:val="Heading 1 Char"/>
    <w:basedOn w:val="DefaultParagraphFont"/>
    <w:link w:val="Heading1"/>
    <w:uiPriority w:val="9"/>
    <w:rsid w:val="00C94E1E"/>
    <w:rPr>
      <w:rFonts w:cs="Times New Roman"/>
      <w:b/>
      <w:sz w:val="48"/>
      <w:szCs w:val="48"/>
    </w:rPr>
  </w:style>
  <w:style w:type="table" w:styleId="GridTable1Light-Accent1">
    <w:name w:val="Grid Table 1 Light Accent 1"/>
    <w:basedOn w:val="TableNormal"/>
    <w:uiPriority w:val="46"/>
    <w:rsid w:val="001E197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1E1970"/>
    <w:rPr>
      <w:b/>
      <w:bCs/>
    </w:rPr>
  </w:style>
  <w:style w:type="character" w:customStyle="1" w:styleId="CommentSubjectChar">
    <w:name w:val="Comment Subject Char"/>
    <w:basedOn w:val="CommentTextChar"/>
    <w:link w:val="CommentSubject"/>
    <w:uiPriority w:val="99"/>
    <w:semiHidden/>
    <w:rsid w:val="001E1970"/>
    <w:rPr>
      <w:rFonts w:ascii="Calibri" w:eastAsia="Calibri" w:hAnsi="Calibri" w:cs="Times New Roman"/>
      <w:b/>
      <w:bCs/>
      <w:sz w:val="20"/>
      <w:szCs w:val="20"/>
      <w:lang w:val="en-IE"/>
    </w:rPr>
  </w:style>
  <w:style w:type="paragraph" w:styleId="BalloonText">
    <w:name w:val="Balloon Text"/>
    <w:basedOn w:val="Normal"/>
    <w:link w:val="BalloonTextChar"/>
    <w:uiPriority w:val="99"/>
    <w:semiHidden/>
    <w:unhideWhenUsed/>
    <w:rsid w:val="001E1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970"/>
    <w:rPr>
      <w:rFonts w:ascii="Segoe UI" w:hAnsi="Segoe UI" w:cs="Segoe UI"/>
      <w:sz w:val="18"/>
      <w:szCs w:val="18"/>
    </w:rPr>
  </w:style>
  <w:style w:type="character" w:styleId="Hyperlink">
    <w:name w:val="Hyperlink"/>
    <w:basedOn w:val="DefaultParagraphFont"/>
    <w:uiPriority w:val="99"/>
    <w:unhideWhenUsed/>
    <w:rsid w:val="001E1970"/>
    <w:rPr>
      <w:color w:val="0563C1" w:themeColor="hyperlink"/>
      <w:u w:val="single"/>
    </w:rPr>
  </w:style>
  <w:style w:type="character" w:styleId="UnresolvedMention">
    <w:name w:val="Unresolved Mention"/>
    <w:basedOn w:val="DefaultParagraphFont"/>
    <w:uiPriority w:val="99"/>
    <w:semiHidden/>
    <w:unhideWhenUsed/>
    <w:rsid w:val="000E59B6"/>
    <w:rPr>
      <w:color w:val="605E5C"/>
      <w:shd w:val="clear" w:color="auto" w:fill="E1DFDD"/>
    </w:rPr>
  </w:style>
  <w:style w:type="table" w:styleId="GridTable2-Accent1">
    <w:name w:val="Grid Table 2 Accent 1"/>
    <w:basedOn w:val="TableNormal"/>
    <w:uiPriority w:val="47"/>
    <w:rsid w:val="000E59B6"/>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visualculture@staff.ncad.i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cad.ie/files/download/NCAD_Grade_Descriptors.pdf" TargetMode="External"/><Relationship Id="rId4" Type="http://schemas.openxmlformats.org/officeDocument/2006/relationships/settings" Target="settings.xml"/><Relationship Id="rId9" Type="http://schemas.openxmlformats.org/officeDocument/2006/relationships/hyperlink" Target="https://www.ncad.ie/files/download/NCAD_Grade_Descriptors.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7KjpKz7YuvY34nrl9NtKI2M4Jg==">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1045</Words>
  <Characters>5959</Characters>
  <Application>Microsoft Office Word</Application>
  <DocSecurity>2</DocSecurity>
  <Lines>49</Lines>
  <Paragraphs>13</Paragraphs>
  <ScaleCrop>false</ScaleCrop>
  <HeadingPairs>
    <vt:vector size="2" baseType="variant">
      <vt:variant>
        <vt:lpstr>Title</vt:lpstr>
      </vt:variant>
      <vt:variant>
        <vt:i4>1</vt:i4>
      </vt:variant>
    </vt:vector>
  </HeadingPairs>
  <TitlesOfParts>
    <vt:vector size="1" baseType="lpstr">
      <vt:lpstr>VC2-6 Understanding Digital Culture ModDesc</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VC2-6 Understanding Digital Culture ModDesc</dc:title>
  <dc:subject>VC2-6 Understanding Digital Culture ModDesc</dc:subject>
  <dc:creator>David Crowley;Kilian O'Callaghan</dc:creator>
  <cp:keywords>2022;Module Descriptor;Visual Culture</cp:keywords>
  <dc:description/>
  <cp:lastModifiedBy>Microsoft Office User</cp:lastModifiedBy>
  <cp:revision>3</cp:revision>
  <cp:lastPrinted>2022-10-25T16:33:00Z</cp:lastPrinted>
  <dcterms:created xsi:type="dcterms:W3CDTF">2023-10-15T12:38:00Z</dcterms:created>
  <dcterms:modified xsi:type="dcterms:W3CDTF">2023-10-15T12:38:00Z</dcterms:modified>
</cp:coreProperties>
</file>