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59212" w14:textId="77777777" w:rsidR="004601E9" w:rsidRPr="00041AEB" w:rsidRDefault="00194073" w:rsidP="00041AEB">
      <w:pPr>
        <w:pStyle w:val="Heading1"/>
        <w:keepNext w:val="0"/>
        <w:keepLines w:val="0"/>
        <w:spacing w:before="0" w:after="0"/>
        <w:jc w:val="center"/>
        <w:rPr>
          <w:rFonts w:eastAsia="Times New Roman" w:cs="Times"/>
          <w:color w:val="1F4E79" w:themeColor="accent5" w:themeShade="80"/>
          <w:sz w:val="36"/>
          <w:szCs w:val="22"/>
        </w:rPr>
      </w:pPr>
      <w:r w:rsidRPr="00041AEB">
        <w:rPr>
          <w:rFonts w:eastAsia="Times New Roman" w:cs="Times"/>
          <w:color w:val="1F4E79" w:themeColor="accent5" w:themeShade="80"/>
          <w:sz w:val="36"/>
          <w:szCs w:val="22"/>
        </w:rPr>
        <w:t>Professional Practice: Institutions</w:t>
      </w:r>
    </w:p>
    <w:p w14:paraId="6B117B67" w14:textId="77777777" w:rsidR="004601E9" w:rsidRPr="00041AEB" w:rsidRDefault="00194073" w:rsidP="00041AEB">
      <w:pPr>
        <w:pStyle w:val="Heading1"/>
        <w:keepNext w:val="0"/>
        <w:keepLines w:val="0"/>
        <w:spacing w:before="0" w:after="0"/>
        <w:jc w:val="center"/>
        <w:rPr>
          <w:rFonts w:eastAsia="Times New Roman" w:cs="Times"/>
          <w:color w:val="1F4E79" w:themeColor="accent5" w:themeShade="80"/>
          <w:sz w:val="32"/>
          <w:szCs w:val="22"/>
        </w:rPr>
      </w:pPr>
      <w:r w:rsidRPr="00041AEB">
        <w:rPr>
          <w:rFonts w:eastAsia="Times New Roman" w:cs="Times"/>
          <w:color w:val="1F4E79" w:themeColor="accent5" w:themeShade="80"/>
          <w:sz w:val="32"/>
          <w:szCs w:val="22"/>
        </w:rPr>
        <w:t>VC2-3</w:t>
      </w:r>
    </w:p>
    <w:p w14:paraId="18B80778" w14:textId="77777777" w:rsidR="004601E9" w:rsidRPr="00BB04A4" w:rsidRDefault="004601E9">
      <w:pPr>
        <w:pBdr>
          <w:top w:val="nil"/>
          <w:left w:val="nil"/>
          <w:bottom w:val="nil"/>
          <w:right w:val="nil"/>
          <w:between w:val="nil"/>
        </w:pBdr>
        <w:ind w:left="142"/>
        <w:rPr>
          <w:rFonts w:cs="Calibri"/>
          <w:color w:val="000000"/>
          <w:sz w:val="20"/>
          <w:szCs w:val="20"/>
        </w:rPr>
      </w:pPr>
    </w:p>
    <w:p w14:paraId="6703538B" w14:textId="77777777" w:rsidR="004601E9" w:rsidRPr="00041AEB" w:rsidRDefault="00194073" w:rsidP="00041AEB">
      <w:pPr>
        <w:pStyle w:val="Heading1"/>
        <w:keepNext w:val="0"/>
        <w:keepLines w:val="0"/>
        <w:spacing w:before="0" w:after="0"/>
        <w:jc w:val="center"/>
        <w:rPr>
          <w:rFonts w:eastAsia="Times New Roman" w:cs="Times"/>
          <w:color w:val="1F4E79" w:themeColor="accent5" w:themeShade="80"/>
          <w:sz w:val="36"/>
          <w:szCs w:val="22"/>
        </w:rPr>
      </w:pPr>
      <w:r w:rsidRPr="00041AEB">
        <w:rPr>
          <w:rFonts w:eastAsia="Times New Roman" w:cs="Times"/>
          <w:color w:val="1F4E79" w:themeColor="accent5" w:themeShade="80"/>
          <w:sz w:val="36"/>
          <w:szCs w:val="22"/>
        </w:rPr>
        <w:t>MODULE DESCRIPTOR</w:t>
      </w:r>
    </w:p>
    <w:p w14:paraId="05A8EA3E" w14:textId="77777777" w:rsidR="004601E9" w:rsidRPr="00BB04A4" w:rsidRDefault="004601E9">
      <w:pPr>
        <w:pBdr>
          <w:top w:val="nil"/>
          <w:left w:val="nil"/>
          <w:bottom w:val="nil"/>
          <w:right w:val="nil"/>
          <w:between w:val="nil"/>
        </w:pBdr>
        <w:ind w:left="142"/>
        <w:rPr>
          <w:rFonts w:cs="Calibri"/>
          <w:color w:val="000000"/>
          <w:sz w:val="20"/>
          <w:szCs w:val="20"/>
        </w:rPr>
      </w:pPr>
    </w:p>
    <w:tbl>
      <w:tblPr>
        <w:tblStyle w:val="a"/>
        <w:tblW w:w="9026" w:type="dxa"/>
        <w:tblBorders>
          <w:top w:val="single" w:sz="4" w:space="0" w:color="9CC3E5"/>
          <w:bottom w:val="single" w:sz="4" w:space="0" w:color="9CC3E5"/>
          <w:insideH w:val="single" w:sz="4" w:space="0" w:color="9CC3E5"/>
          <w:insideV w:val="single" w:sz="4" w:space="0" w:color="9CC3E5"/>
        </w:tblBorders>
        <w:tblLayout w:type="fixed"/>
        <w:tblLook w:val="0200" w:firstRow="0" w:lastRow="0" w:firstColumn="0" w:lastColumn="0" w:noHBand="1" w:noVBand="0"/>
      </w:tblPr>
      <w:tblGrid>
        <w:gridCol w:w="1521"/>
        <w:gridCol w:w="983"/>
        <w:gridCol w:w="2357"/>
        <w:gridCol w:w="4165"/>
      </w:tblGrid>
      <w:tr w:rsidR="004601E9" w:rsidRPr="00041AEB" w14:paraId="553E6863" w14:textId="77777777" w:rsidTr="00041AEB">
        <w:trPr>
          <w:trHeight w:val="340"/>
        </w:trPr>
        <w:tc>
          <w:tcPr>
            <w:cnfStyle w:val="000010000000" w:firstRow="0" w:lastRow="0" w:firstColumn="0" w:lastColumn="0" w:oddVBand="1" w:evenVBand="0" w:oddHBand="0" w:evenHBand="0" w:firstRowFirstColumn="0" w:firstRowLastColumn="0" w:lastRowFirstColumn="0" w:lastRowLastColumn="0"/>
            <w:tcW w:w="1521" w:type="dxa"/>
          </w:tcPr>
          <w:p w14:paraId="3C2F11D5" w14:textId="3CCEABFB" w:rsidR="004601E9" w:rsidRPr="00041AEB" w:rsidRDefault="00194073" w:rsidP="00041AEB">
            <w:pPr>
              <w:pStyle w:val="Heading4"/>
              <w:outlineLvl w:val="3"/>
            </w:pPr>
            <w:r w:rsidRPr="00041AEB">
              <w:t>ECTS credits</w:t>
            </w:r>
            <w:r w:rsidR="006E0A07" w:rsidRPr="00041AEB">
              <w:footnoteReference w:id="1"/>
            </w:r>
          </w:p>
        </w:tc>
        <w:tc>
          <w:tcPr>
            <w:tcW w:w="983" w:type="dxa"/>
          </w:tcPr>
          <w:p w14:paraId="74CBF2E4" w14:textId="77777777" w:rsidR="004601E9" w:rsidRPr="00041AEB" w:rsidRDefault="00194073">
            <w:pPr>
              <w:ind w:left="142"/>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41AEB">
              <w:rPr>
                <w:rFonts w:ascii="Calibri" w:hAnsi="Calibri" w:cs="Calibri"/>
                <w:color w:val="000000"/>
              </w:rPr>
              <w:t>10</w:t>
            </w:r>
          </w:p>
        </w:tc>
        <w:tc>
          <w:tcPr>
            <w:cnfStyle w:val="000010000000" w:firstRow="0" w:lastRow="0" w:firstColumn="0" w:lastColumn="0" w:oddVBand="1" w:evenVBand="0" w:oddHBand="0" w:evenHBand="0" w:firstRowFirstColumn="0" w:firstRowLastColumn="0" w:lastRowFirstColumn="0" w:lastRowLastColumn="0"/>
            <w:tcW w:w="2357" w:type="dxa"/>
          </w:tcPr>
          <w:p w14:paraId="4F31FEDA" w14:textId="77777777" w:rsidR="004601E9" w:rsidRPr="00041AEB" w:rsidRDefault="00194073" w:rsidP="00041AEB">
            <w:pPr>
              <w:pStyle w:val="Heading4"/>
              <w:outlineLvl w:val="3"/>
            </w:pPr>
            <w:r w:rsidRPr="00041AEB">
              <w:t>Programme</w:t>
            </w:r>
          </w:p>
        </w:tc>
        <w:tc>
          <w:tcPr>
            <w:tcW w:w="4165" w:type="dxa"/>
          </w:tcPr>
          <w:p w14:paraId="4C0ACBEF" w14:textId="031D67A6" w:rsidR="004601E9" w:rsidRPr="00041AEB" w:rsidRDefault="00194073">
            <w:pPr>
              <w:pBdr>
                <w:top w:val="nil"/>
                <w:left w:val="nil"/>
                <w:bottom w:val="nil"/>
                <w:right w:val="nil"/>
                <w:between w:val="nil"/>
              </w:pBdr>
              <w:ind w:left="142"/>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41AEB">
              <w:rPr>
                <w:rFonts w:ascii="Calibri" w:hAnsi="Calibri" w:cs="Calibri"/>
                <w:color w:val="000000"/>
              </w:rPr>
              <w:t>BA Visual Culture</w:t>
            </w:r>
          </w:p>
        </w:tc>
      </w:tr>
      <w:tr w:rsidR="004601E9" w:rsidRPr="00041AEB" w14:paraId="4A7E2DFA" w14:textId="77777777" w:rsidTr="00041AEB">
        <w:trPr>
          <w:trHeight w:val="340"/>
        </w:trPr>
        <w:tc>
          <w:tcPr>
            <w:cnfStyle w:val="000010000000" w:firstRow="0" w:lastRow="0" w:firstColumn="0" w:lastColumn="0" w:oddVBand="1" w:evenVBand="0" w:oddHBand="0" w:evenHBand="0" w:firstRowFirstColumn="0" w:firstRowLastColumn="0" w:lastRowFirstColumn="0" w:lastRowLastColumn="0"/>
            <w:tcW w:w="1521" w:type="dxa"/>
          </w:tcPr>
          <w:p w14:paraId="563792A1" w14:textId="77777777" w:rsidR="004601E9" w:rsidRPr="00041AEB" w:rsidRDefault="00194073" w:rsidP="00041AEB">
            <w:pPr>
              <w:pStyle w:val="Heading4"/>
              <w:outlineLvl w:val="3"/>
            </w:pPr>
            <w:r w:rsidRPr="00041AEB">
              <w:t>NQF level</w:t>
            </w:r>
          </w:p>
        </w:tc>
        <w:tc>
          <w:tcPr>
            <w:tcW w:w="983" w:type="dxa"/>
          </w:tcPr>
          <w:p w14:paraId="2D00FD36" w14:textId="77777777" w:rsidR="004601E9" w:rsidRPr="00041AEB" w:rsidRDefault="00194073">
            <w:pPr>
              <w:pBdr>
                <w:top w:val="nil"/>
                <w:left w:val="nil"/>
                <w:bottom w:val="nil"/>
                <w:right w:val="nil"/>
                <w:between w:val="nil"/>
              </w:pBdr>
              <w:ind w:left="142"/>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41AEB">
              <w:rPr>
                <w:rFonts w:ascii="Calibri" w:hAnsi="Calibri" w:cs="Calibri"/>
                <w:color w:val="000000"/>
              </w:rPr>
              <w:t>8</w:t>
            </w:r>
          </w:p>
        </w:tc>
        <w:tc>
          <w:tcPr>
            <w:cnfStyle w:val="000010000000" w:firstRow="0" w:lastRow="0" w:firstColumn="0" w:lastColumn="0" w:oddVBand="1" w:evenVBand="0" w:oddHBand="0" w:evenHBand="0" w:firstRowFirstColumn="0" w:firstRowLastColumn="0" w:lastRowFirstColumn="0" w:lastRowLastColumn="0"/>
            <w:tcW w:w="2357" w:type="dxa"/>
          </w:tcPr>
          <w:p w14:paraId="19FEC87A" w14:textId="77777777" w:rsidR="004601E9" w:rsidRPr="00041AEB" w:rsidRDefault="00194073" w:rsidP="00041AEB">
            <w:pPr>
              <w:pStyle w:val="Heading4"/>
              <w:outlineLvl w:val="3"/>
            </w:pPr>
            <w:r w:rsidRPr="00041AEB">
              <w:t>School</w:t>
            </w:r>
          </w:p>
        </w:tc>
        <w:tc>
          <w:tcPr>
            <w:tcW w:w="4165" w:type="dxa"/>
          </w:tcPr>
          <w:p w14:paraId="5E5DAB36" w14:textId="77777777" w:rsidR="004601E9" w:rsidRPr="00041AEB" w:rsidRDefault="00194073">
            <w:pPr>
              <w:pBdr>
                <w:top w:val="nil"/>
                <w:left w:val="nil"/>
                <w:bottom w:val="nil"/>
                <w:right w:val="nil"/>
                <w:between w:val="nil"/>
              </w:pBdr>
              <w:ind w:left="142"/>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41AEB">
              <w:rPr>
                <w:rFonts w:ascii="Calibri" w:hAnsi="Calibri" w:cs="Calibri"/>
                <w:color w:val="000000"/>
              </w:rPr>
              <w:t>School of Visual Culture</w:t>
            </w:r>
          </w:p>
        </w:tc>
      </w:tr>
      <w:tr w:rsidR="004601E9" w:rsidRPr="00041AEB" w14:paraId="3A101676" w14:textId="77777777" w:rsidTr="00041AEB">
        <w:trPr>
          <w:trHeight w:val="340"/>
        </w:trPr>
        <w:tc>
          <w:tcPr>
            <w:cnfStyle w:val="000010000000" w:firstRow="0" w:lastRow="0" w:firstColumn="0" w:lastColumn="0" w:oddVBand="1" w:evenVBand="0" w:oddHBand="0" w:evenHBand="0" w:firstRowFirstColumn="0" w:firstRowLastColumn="0" w:lastRowFirstColumn="0" w:lastRowLastColumn="0"/>
            <w:tcW w:w="1521" w:type="dxa"/>
          </w:tcPr>
          <w:p w14:paraId="65B6B738" w14:textId="77777777" w:rsidR="004601E9" w:rsidRPr="00041AEB" w:rsidRDefault="00194073" w:rsidP="00041AEB">
            <w:pPr>
              <w:pStyle w:val="Heading4"/>
              <w:outlineLvl w:val="3"/>
            </w:pPr>
            <w:r w:rsidRPr="00041AEB">
              <w:t>Stage</w:t>
            </w:r>
          </w:p>
        </w:tc>
        <w:tc>
          <w:tcPr>
            <w:tcW w:w="983" w:type="dxa"/>
          </w:tcPr>
          <w:p w14:paraId="2D9FD2A9" w14:textId="77777777" w:rsidR="004601E9" w:rsidRPr="00041AEB" w:rsidRDefault="00194073">
            <w:pPr>
              <w:pBdr>
                <w:top w:val="nil"/>
                <w:left w:val="nil"/>
                <w:bottom w:val="nil"/>
                <w:right w:val="nil"/>
                <w:between w:val="nil"/>
              </w:pBdr>
              <w:ind w:left="142"/>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41AEB">
              <w:rPr>
                <w:rFonts w:ascii="Calibri" w:hAnsi="Calibri" w:cs="Calibri"/>
                <w:color w:val="000000"/>
              </w:rPr>
              <w:t>2</w:t>
            </w:r>
          </w:p>
        </w:tc>
        <w:tc>
          <w:tcPr>
            <w:cnfStyle w:val="000010000000" w:firstRow="0" w:lastRow="0" w:firstColumn="0" w:lastColumn="0" w:oddVBand="1" w:evenVBand="0" w:oddHBand="0" w:evenHBand="0" w:firstRowFirstColumn="0" w:firstRowLastColumn="0" w:lastRowFirstColumn="0" w:lastRowLastColumn="0"/>
            <w:tcW w:w="2357" w:type="dxa"/>
          </w:tcPr>
          <w:p w14:paraId="676165C6" w14:textId="77777777" w:rsidR="004601E9" w:rsidRPr="00041AEB" w:rsidRDefault="00194073" w:rsidP="00041AEB">
            <w:pPr>
              <w:pStyle w:val="Heading4"/>
              <w:outlineLvl w:val="3"/>
            </w:pPr>
            <w:r w:rsidRPr="00041AEB">
              <w:t>Module Co-ordinator</w:t>
            </w:r>
          </w:p>
        </w:tc>
        <w:tc>
          <w:tcPr>
            <w:tcW w:w="4165" w:type="dxa"/>
          </w:tcPr>
          <w:p w14:paraId="1E8A489B" w14:textId="1A1E0AC6" w:rsidR="004601E9" w:rsidRPr="00041AEB" w:rsidRDefault="00194073">
            <w:pPr>
              <w:ind w:left="142"/>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41AEB">
              <w:rPr>
                <w:rFonts w:ascii="Calibri" w:hAnsi="Calibri" w:cs="Calibri"/>
                <w:color w:val="000000"/>
              </w:rPr>
              <w:t>Dr Sarah Pierce</w:t>
            </w:r>
          </w:p>
        </w:tc>
      </w:tr>
      <w:tr w:rsidR="004601E9" w:rsidRPr="00041AEB" w14:paraId="5176163E" w14:textId="77777777" w:rsidTr="00041AEB">
        <w:trPr>
          <w:trHeight w:val="340"/>
        </w:trPr>
        <w:tc>
          <w:tcPr>
            <w:cnfStyle w:val="000010000000" w:firstRow="0" w:lastRow="0" w:firstColumn="0" w:lastColumn="0" w:oddVBand="1" w:evenVBand="0" w:oddHBand="0" w:evenHBand="0" w:firstRowFirstColumn="0" w:firstRowLastColumn="0" w:lastRowFirstColumn="0" w:lastRowLastColumn="0"/>
            <w:tcW w:w="1521" w:type="dxa"/>
          </w:tcPr>
          <w:p w14:paraId="163A7088" w14:textId="77777777" w:rsidR="004601E9" w:rsidRPr="00041AEB" w:rsidRDefault="00194073" w:rsidP="00041AEB">
            <w:pPr>
              <w:pStyle w:val="Heading4"/>
              <w:outlineLvl w:val="3"/>
            </w:pPr>
            <w:r w:rsidRPr="00041AEB">
              <w:t>Trimester</w:t>
            </w:r>
          </w:p>
        </w:tc>
        <w:tc>
          <w:tcPr>
            <w:tcW w:w="983" w:type="dxa"/>
          </w:tcPr>
          <w:p w14:paraId="5AFBC5B4" w14:textId="77777777" w:rsidR="004601E9" w:rsidRPr="00041AEB" w:rsidRDefault="00194073">
            <w:pPr>
              <w:pBdr>
                <w:top w:val="nil"/>
                <w:left w:val="nil"/>
                <w:bottom w:val="nil"/>
                <w:right w:val="nil"/>
                <w:between w:val="nil"/>
              </w:pBdr>
              <w:ind w:left="142"/>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41AEB">
              <w:rPr>
                <w:rFonts w:ascii="Calibri" w:hAnsi="Calibri" w:cs="Calibri"/>
                <w:color w:val="000000"/>
              </w:rPr>
              <w:t>1</w:t>
            </w:r>
          </w:p>
        </w:tc>
        <w:tc>
          <w:tcPr>
            <w:cnfStyle w:val="000010000000" w:firstRow="0" w:lastRow="0" w:firstColumn="0" w:lastColumn="0" w:oddVBand="1" w:evenVBand="0" w:oddHBand="0" w:evenHBand="0" w:firstRowFirstColumn="0" w:firstRowLastColumn="0" w:lastRowFirstColumn="0" w:lastRowLastColumn="0"/>
            <w:tcW w:w="2357" w:type="dxa"/>
          </w:tcPr>
          <w:p w14:paraId="07DC825B" w14:textId="77777777" w:rsidR="004601E9" w:rsidRPr="00041AEB" w:rsidRDefault="00194073" w:rsidP="00041AEB">
            <w:pPr>
              <w:pStyle w:val="Heading4"/>
              <w:outlineLvl w:val="3"/>
            </w:pPr>
            <w:r w:rsidRPr="00041AEB">
              <w:t>Module Team</w:t>
            </w:r>
          </w:p>
        </w:tc>
        <w:tc>
          <w:tcPr>
            <w:tcW w:w="4165" w:type="dxa"/>
          </w:tcPr>
          <w:p w14:paraId="3181891E" w14:textId="0D8FFBA4" w:rsidR="004601E9" w:rsidRPr="00041AEB" w:rsidRDefault="00194073">
            <w:pPr>
              <w:ind w:left="142"/>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41AEB">
              <w:rPr>
                <w:rFonts w:ascii="Calibri" w:hAnsi="Calibri" w:cs="Calibri"/>
                <w:color w:val="000000"/>
              </w:rPr>
              <w:t>Dr Sarah Pierce</w:t>
            </w:r>
          </w:p>
        </w:tc>
      </w:tr>
      <w:tr w:rsidR="004601E9" w:rsidRPr="00041AEB" w14:paraId="49AF2404" w14:textId="77777777" w:rsidTr="00041AEB">
        <w:trPr>
          <w:trHeight w:val="340"/>
        </w:trPr>
        <w:tc>
          <w:tcPr>
            <w:cnfStyle w:val="000010000000" w:firstRow="0" w:lastRow="0" w:firstColumn="0" w:lastColumn="0" w:oddVBand="1" w:evenVBand="0" w:oddHBand="0" w:evenHBand="0" w:firstRowFirstColumn="0" w:firstRowLastColumn="0" w:lastRowFirstColumn="0" w:lastRowLastColumn="0"/>
            <w:tcW w:w="1521" w:type="dxa"/>
          </w:tcPr>
          <w:p w14:paraId="3A403A44" w14:textId="77777777" w:rsidR="004601E9" w:rsidRPr="00041AEB" w:rsidRDefault="00194073" w:rsidP="00041AEB">
            <w:pPr>
              <w:pStyle w:val="Heading4"/>
              <w:outlineLvl w:val="3"/>
            </w:pPr>
            <w:r w:rsidRPr="00041AEB">
              <w:t>Contact</w:t>
            </w:r>
          </w:p>
        </w:tc>
        <w:tc>
          <w:tcPr>
            <w:tcW w:w="7505" w:type="dxa"/>
            <w:gridSpan w:val="3"/>
          </w:tcPr>
          <w:p w14:paraId="4D081234" w14:textId="77777777" w:rsidR="004601E9" w:rsidRPr="00041AEB" w:rsidRDefault="00194073">
            <w:pPr>
              <w:pBdr>
                <w:top w:val="nil"/>
                <w:left w:val="nil"/>
                <w:bottom w:val="nil"/>
                <w:right w:val="nil"/>
                <w:between w:val="nil"/>
              </w:pBdr>
              <w:ind w:left="142"/>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41AEB">
              <w:rPr>
                <w:rFonts w:ascii="Calibri" w:hAnsi="Calibri" w:cs="Calibri"/>
                <w:color w:val="000000"/>
              </w:rPr>
              <w:t>Neasa Travers, Secretary School of Visual Culture: visualculture@staff.ncad.ie</w:t>
            </w:r>
          </w:p>
        </w:tc>
      </w:tr>
      <w:tr w:rsidR="004601E9" w:rsidRPr="00041AEB" w14:paraId="139B7043" w14:textId="77777777" w:rsidTr="00041AEB">
        <w:trPr>
          <w:trHeight w:val="340"/>
        </w:trPr>
        <w:tc>
          <w:tcPr>
            <w:cnfStyle w:val="000010000000" w:firstRow="0" w:lastRow="0" w:firstColumn="0" w:lastColumn="0" w:oddVBand="1" w:evenVBand="0" w:oddHBand="0" w:evenHBand="0" w:firstRowFirstColumn="0" w:firstRowLastColumn="0" w:lastRowFirstColumn="0" w:lastRowLastColumn="0"/>
            <w:tcW w:w="1521" w:type="dxa"/>
          </w:tcPr>
          <w:p w14:paraId="5F058019" w14:textId="77777777" w:rsidR="004601E9" w:rsidRPr="00041AEB" w:rsidRDefault="00194073" w:rsidP="00041AEB">
            <w:pPr>
              <w:pStyle w:val="Heading4"/>
              <w:outlineLvl w:val="3"/>
            </w:pPr>
            <w:r w:rsidRPr="00041AEB">
              <w:t>Responsibility</w:t>
            </w:r>
          </w:p>
        </w:tc>
        <w:tc>
          <w:tcPr>
            <w:tcW w:w="7505" w:type="dxa"/>
            <w:gridSpan w:val="3"/>
          </w:tcPr>
          <w:p w14:paraId="71102655" w14:textId="62A49933" w:rsidR="004601E9" w:rsidRPr="00041AEB" w:rsidRDefault="00273039">
            <w:pPr>
              <w:ind w:left="142"/>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The </w:t>
            </w:r>
            <w:r w:rsidR="00194073" w:rsidRPr="00041AEB">
              <w:rPr>
                <w:rFonts w:ascii="Calibri" w:hAnsi="Calibri" w:cs="Calibri"/>
                <w:color w:val="000000"/>
              </w:rPr>
              <w:t xml:space="preserve">NCAD Academic Council </w:t>
            </w:r>
            <w:r>
              <w:rPr>
                <w:rFonts w:ascii="Calibri" w:hAnsi="Calibri" w:cs="Calibri"/>
                <w:color w:val="000000"/>
              </w:rPr>
              <w:t>and the</w:t>
            </w:r>
            <w:r w:rsidR="00194073" w:rsidRPr="00041AEB">
              <w:rPr>
                <w:rFonts w:ascii="Calibri" w:hAnsi="Calibri" w:cs="Calibri"/>
                <w:color w:val="000000"/>
              </w:rPr>
              <w:t xml:space="preserve"> School of Visual Culture</w:t>
            </w:r>
            <w:r>
              <w:rPr>
                <w:rFonts w:ascii="Calibri" w:hAnsi="Calibri" w:cs="Calibri"/>
                <w:color w:val="000000"/>
              </w:rPr>
              <w:t xml:space="preserve"> Board have responsibility for this module.</w:t>
            </w:r>
          </w:p>
        </w:tc>
      </w:tr>
    </w:tbl>
    <w:p w14:paraId="4D2E64AD" w14:textId="77777777" w:rsidR="004601E9" w:rsidRPr="00BB04A4" w:rsidRDefault="004601E9">
      <w:pPr>
        <w:pBdr>
          <w:top w:val="nil"/>
          <w:left w:val="nil"/>
          <w:bottom w:val="nil"/>
          <w:right w:val="nil"/>
          <w:between w:val="nil"/>
        </w:pBdr>
        <w:ind w:left="142"/>
        <w:rPr>
          <w:rFonts w:eastAsia="Arial" w:cs="Calibri"/>
          <w:color w:val="000000"/>
          <w:sz w:val="20"/>
          <w:szCs w:val="20"/>
        </w:rPr>
      </w:pPr>
    </w:p>
    <w:p w14:paraId="192A5C0B" w14:textId="77777777" w:rsidR="00041AEB" w:rsidRPr="00273039" w:rsidRDefault="00041AEB" w:rsidP="00273039">
      <w:pPr>
        <w:pStyle w:val="Heading2"/>
      </w:pPr>
      <w:r w:rsidRPr="00273039">
        <w:t>Introduction</w:t>
      </w:r>
    </w:p>
    <w:p w14:paraId="0919C6D3" w14:textId="11019C29" w:rsidR="00041AEB" w:rsidRPr="00041AEB" w:rsidRDefault="00041AEB" w:rsidP="00041AEB">
      <w:pPr>
        <w:pStyle w:val="ListParagraph"/>
      </w:pPr>
      <w:r w:rsidRPr="00041AEB">
        <w:t xml:space="preserve">The purpose of this module is to support the ongoing development of professional practice skills pertaining to the study of visual culture. </w:t>
      </w:r>
      <w:r>
        <w:t xml:space="preserve"> </w:t>
      </w:r>
      <w:r w:rsidRPr="00041AEB">
        <w:t>To achieve this broad aim, the module concentrates on professional practice contexts in Ireland, considering ways in which subjects studied more broadly within this programme can be applied to the work of appropriate local institutions and agencies.  The module makes use of an extended case study (or, if appropriate, a number of case studies) in order to support students in developing their understanding of insti</w:t>
      </w:r>
      <w:r>
        <w:t xml:space="preserve">tutional conditions that shape </w:t>
      </w:r>
      <w:r w:rsidRPr="00041AEB">
        <w:t xml:space="preserve">visual culture in Ireland. </w:t>
      </w:r>
      <w:r>
        <w:t xml:space="preserve"> </w:t>
      </w:r>
      <w:r w:rsidRPr="00041AEB">
        <w:t xml:space="preserve">In particular, it focuses on the role played by the institution/s in the organisation and dissemination of knowledge of visual culture beyond matters of exhibition and display (these concerns feature strongly in other professional practice modules offered in years 1 and 3). </w:t>
      </w:r>
      <w:r>
        <w:t xml:space="preserve"> </w:t>
      </w:r>
      <w:r w:rsidRPr="00041AEB">
        <w:t xml:space="preserve">As such, it places particular emphasis on organisations like archives and libraries, as well as the tools central to their activities such as databases and catalogues. </w:t>
      </w:r>
      <w:r>
        <w:t xml:space="preserve"> </w:t>
      </w:r>
      <w:r w:rsidRPr="00041AEB">
        <w:t>Central to these studies is the question of how specific institutions and agencies in Ireland seek to understand and administer key aspects of their operations such as audiences and publics, collection policy, outreach and education.  How the practices of local and national organisations are informed by international relationships and tendencies is also an important point of reference.</w:t>
      </w:r>
    </w:p>
    <w:p w14:paraId="75155FE8" w14:textId="29566C5F" w:rsidR="00041AEB" w:rsidRPr="00041AEB" w:rsidRDefault="00041AEB" w:rsidP="00041AEB">
      <w:pPr>
        <w:pStyle w:val="ListParagraph"/>
      </w:pPr>
      <w:r w:rsidRPr="00041AEB">
        <w:t>Each year an organisation / number of related organisations will be approached to offer students access to their collections, staff and organisation systems.</w:t>
      </w:r>
      <w:r>
        <w:t xml:space="preserve"> </w:t>
      </w:r>
      <w:r w:rsidRPr="00041AEB">
        <w:t xml:space="preserve"> Where possible, classes will take place in situ as well as on the NCAD site. </w:t>
      </w:r>
      <w:r>
        <w:t xml:space="preserve"> </w:t>
      </w:r>
      <w:r w:rsidRPr="00041AEB">
        <w:t>Research tasks will be designed in partnership with the staff of these institutions to develop insights and understanding of their operations and, if successful, new knowledge about objects a</w:t>
      </w:r>
      <w:r>
        <w:t>nd documents in their care.</w:t>
      </w:r>
    </w:p>
    <w:p w14:paraId="27C15A47" w14:textId="2050D36F" w:rsidR="00041AEB" w:rsidRPr="00041AEB" w:rsidRDefault="00041AEB" w:rsidP="00041AEB">
      <w:pPr>
        <w:pStyle w:val="ListParagraph"/>
      </w:pPr>
      <w:r w:rsidRPr="00041AEB">
        <w:t>The aims of this module are</w:t>
      </w:r>
      <w:r w:rsidR="009D2CD2">
        <w:t xml:space="preserve"> to</w:t>
      </w:r>
      <w:r w:rsidRPr="00041AEB">
        <w:t>:</w:t>
      </w:r>
    </w:p>
    <w:p w14:paraId="3FB11615" w14:textId="154F1B96" w:rsidR="00041AEB" w:rsidRPr="00BB04A4" w:rsidRDefault="009D2CD2" w:rsidP="00041AEB">
      <w:pPr>
        <w:pStyle w:val="Bullets"/>
      </w:pPr>
      <w:r>
        <w:t>E</w:t>
      </w:r>
      <w:r w:rsidR="00041AEB" w:rsidRPr="00BB04A4">
        <w:t>ncourage understanding of the professional and public obligations and responsibilities which shape the operation of institutions;</w:t>
      </w:r>
    </w:p>
    <w:p w14:paraId="07A8F7A1" w14:textId="39AA3F75" w:rsidR="00041AEB" w:rsidRPr="00BB04A4" w:rsidRDefault="009D2CD2" w:rsidP="00041AEB">
      <w:pPr>
        <w:pStyle w:val="Bullets"/>
      </w:pPr>
      <w:r>
        <w:lastRenderedPageBreak/>
        <w:t>U</w:t>
      </w:r>
      <w:r w:rsidR="00041AEB" w:rsidRPr="00BB04A4">
        <w:t>nderstand the professional and epistemological structures which shape the organisation of knowledge and its dissemination;</w:t>
      </w:r>
    </w:p>
    <w:p w14:paraId="7830805A" w14:textId="7A5E4E3B" w:rsidR="00041AEB" w:rsidRPr="00BB04A4" w:rsidRDefault="009D2CD2" w:rsidP="00041AEB">
      <w:pPr>
        <w:pStyle w:val="Bullets"/>
      </w:pPr>
      <w:r>
        <w:t>P</w:t>
      </w:r>
      <w:r w:rsidR="00041AEB" w:rsidRPr="00BB04A4">
        <w:t>rovide opportunities for students to work with original materials in collections and archives.</w:t>
      </w:r>
    </w:p>
    <w:p w14:paraId="77B8E49E" w14:textId="77777777" w:rsidR="00041AEB" w:rsidRPr="00BB04A4" w:rsidRDefault="00041AEB" w:rsidP="00273039">
      <w:pPr>
        <w:pStyle w:val="Heading2"/>
        <w:rPr>
          <w:rFonts w:eastAsia="Calibri"/>
        </w:rPr>
      </w:pPr>
      <w:r w:rsidRPr="00BB04A4">
        <w:t>What will I learn?</w:t>
      </w:r>
    </w:p>
    <w:p w14:paraId="0B277F35" w14:textId="77777777" w:rsidR="00041AEB" w:rsidRPr="00BB04A4" w:rsidRDefault="00041AEB" w:rsidP="00041AEB">
      <w:pPr>
        <w:pStyle w:val="ListParagraph"/>
      </w:pPr>
      <w:r w:rsidRPr="00BB04A4">
        <w:t>On successful completion of this module students will be able to:</w:t>
      </w:r>
    </w:p>
    <w:p w14:paraId="0547C6D6" w14:textId="77777777" w:rsidR="00041AEB" w:rsidRPr="00BB04A4" w:rsidRDefault="00041AEB" w:rsidP="00041AEB">
      <w:pPr>
        <w:pStyle w:val="Bullets"/>
        <w:numPr>
          <w:ilvl w:val="0"/>
          <w:numId w:val="5"/>
        </w:numPr>
      </w:pPr>
      <w:r w:rsidRPr="00BB04A4">
        <w:t>RESEARCH: Develop detailed knowledge of local and national professional practice contexts for the study of visual culture.</w:t>
      </w:r>
    </w:p>
    <w:p w14:paraId="2DA3A429" w14:textId="16E203CA" w:rsidR="00041AEB" w:rsidRPr="00BB04A4" w:rsidRDefault="00041AEB" w:rsidP="00041AEB">
      <w:pPr>
        <w:pStyle w:val="Bullets"/>
        <w:numPr>
          <w:ilvl w:val="0"/>
          <w:numId w:val="5"/>
        </w:numPr>
      </w:pPr>
      <w:r w:rsidRPr="00BB04A4">
        <w:t>REFLECT: Develop the interpretive skills to work with primary material in collections and archives</w:t>
      </w:r>
      <w:r w:rsidR="009D2CD2">
        <w:t>.</w:t>
      </w:r>
    </w:p>
    <w:p w14:paraId="79DD7702" w14:textId="77777777" w:rsidR="00041AEB" w:rsidRPr="00BB04A4" w:rsidRDefault="00041AEB" w:rsidP="00041AEB">
      <w:pPr>
        <w:pStyle w:val="Bullets"/>
        <w:numPr>
          <w:ilvl w:val="0"/>
          <w:numId w:val="5"/>
        </w:numPr>
      </w:pPr>
      <w:r w:rsidRPr="00BB04A4">
        <w:t>ANALYSE: Understand ways in which archives, objects and other materials employed in institutional contexts related to the production and presentation of visual culture in Ireland.</w:t>
      </w:r>
    </w:p>
    <w:p w14:paraId="402B77D2" w14:textId="77777777" w:rsidR="00041AEB" w:rsidRPr="00BB04A4" w:rsidRDefault="00041AEB" w:rsidP="00041AEB">
      <w:pPr>
        <w:pStyle w:val="Bullets"/>
        <w:numPr>
          <w:ilvl w:val="0"/>
          <w:numId w:val="5"/>
        </w:numPr>
      </w:pPr>
      <w:r w:rsidRPr="00BB04A4">
        <w:t>COMMUNICATE: Further develop the capacity to address and develop audiences in a targeted, strategic manner.</w:t>
      </w:r>
    </w:p>
    <w:p w14:paraId="4ECC0E3F" w14:textId="77777777" w:rsidR="00041AEB" w:rsidRPr="00BB04A4" w:rsidRDefault="00041AEB" w:rsidP="00273039">
      <w:pPr>
        <w:pStyle w:val="Heading2"/>
        <w:rPr>
          <w:rFonts w:eastAsia="Calibri"/>
          <w:u w:val="single"/>
        </w:rPr>
      </w:pPr>
      <w:r w:rsidRPr="00BB04A4">
        <w:t>How will I learn?</w:t>
      </w:r>
    </w:p>
    <w:p w14:paraId="054B77A8" w14:textId="4295E688" w:rsidR="00041AEB" w:rsidRPr="00BB04A4" w:rsidRDefault="00041AEB" w:rsidP="009D2CD2">
      <w:pPr>
        <w:pStyle w:val="ListParagraph"/>
      </w:pPr>
      <w:r w:rsidRPr="00BB04A4">
        <w:t xml:space="preserve">Classes will take the form of site visits, meetings with professionals, and topic specific weekly readings and lectures. </w:t>
      </w:r>
      <w:r>
        <w:t xml:space="preserve"> </w:t>
      </w:r>
      <w:r w:rsidRPr="00BB04A4">
        <w:t xml:space="preserve">All site visits take place during class time and weekly readings are available via </w:t>
      </w:r>
      <w:r w:rsidR="00536CD1">
        <w:t>Google Classroom</w:t>
      </w:r>
      <w:r w:rsidRPr="00BB04A4">
        <w:t>.</w:t>
      </w:r>
      <w:r>
        <w:t xml:space="preserve"> </w:t>
      </w:r>
      <w:r w:rsidRPr="00BB04A4">
        <w:t xml:space="preserve"> Students will have the opportunity to work in small groups on tasks within the archive or other instit</w:t>
      </w:r>
      <w:r w:rsidR="000008D6">
        <w:t>ution selected for this module.</w:t>
      </w:r>
    </w:p>
    <w:tbl>
      <w:tblPr>
        <w:tblStyle w:val="GridTable1Light-Accent1"/>
        <w:tblW w:w="5250" w:type="dxa"/>
        <w:tblLayout w:type="fixed"/>
        <w:tblLook w:val="06E0" w:firstRow="1" w:lastRow="1" w:firstColumn="1" w:lastColumn="0" w:noHBand="1" w:noVBand="1"/>
      </w:tblPr>
      <w:tblGrid>
        <w:gridCol w:w="3969"/>
        <w:gridCol w:w="1281"/>
      </w:tblGrid>
      <w:tr w:rsidR="004601E9" w:rsidRPr="00041AEB" w14:paraId="40F3C3F2" w14:textId="77777777" w:rsidTr="00041AE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Pr>
          <w:p w14:paraId="13036611" w14:textId="77777777" w:rsidR="004601E9" w:rsidRPr="00041AEB" w:rsidRDefault="00194073">
            <w:pPr>
              <w:ind w:left="142"/>
              <w:rPr>
                <w:rFonts w:cs="Calibri"/>
                <w:color w:val="000000"/>
                <w:szCs w:val="20"/>
              </w:rPr>
            </w:pPr>
            <w:r w:rsidRPr="00041AEB">
              <w:rPr>
                <w:rFonts w:cs="Calibri"/>
                <w:color w:val="000000"/>
                <w:szCs w:val="20"/>
              </w:rPr>
              <w:t>Learning tool</w:t>
            </w:r>
          </w:p>
        </w:tc>
        <w:tc>
          <w:tcPr>
            <w:tcW w:w="1281" w:type="dxa"/>
          </w:tcPr>
          <w:p w14:paraId="046F67F5" w14:textId="77777777" w:rsidR="004601E9" w:rsidRPr="00041AEB" w:rsidRDefault="00194073" w:rsidP="00041AEB">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cs="Calibri"/>
                <w:color w:val="000000"/>
                <w:szCs w:val="20"/>
              </w:rPr>
            </w:pPr>
            <w:r w:rsidRPr="00041AEB">
              <w:rPr>
                <w:rFonts w:cs="Calibri"/>
                <w:color w:val="000000"/>
                <w:szCs w:val="20"/>
              </w:rPr>
              <w:t>Hours</w:t>
            </w:r>
          </w:p>
        </w:tc>
      </w:tr>
      <w:tr w:rsidR="004601E9" w:rsidRPr="00041AEB" w14:paraId="4E582F8E" w14:textId="77777777" w:rsidTr="00041AEB">
        <w:trPr>
          <w:trHeight w:val="340"/>
        </w:trPr>
        <w:tc>
          <w:tcPr>
            <w:cnfStyle w:val="001000000000" w:firstRow="0" w:lastRow="0" w:firstColumn="1" w:lastColumn="0" w:oddVBand="0" w:evenVBand="0" w:oddHBand="0" w:evenHBand="0" w:firstRowFirstColumn="0" w:firstRowLastColumn="0" w:lastRowFirstColumn="0" w:lastRowLastColumn="0"/>
            <w:tcW w:w="3969" w:type="dxa"/>
          </w:tcPr>
          <w:p w14:paraId="62B0FF9E" w14:textId="77777777" w:rsidR="004601E9" w:rsidRPr="00041AEB" w:rsidRDefault="00194073">
            <w:pPr>
              <w:ind w:left="142"/>
              <w:rPr>
                <w:rFonts w:cs="Calibri"/>
                <w:b w:val="0"/>
                <w:color w:val="000000"/>
                <w:szCs w:val="20"/>
              </w:rPr>
            </w:pPr>
            <w:r w:rsidRPr="00041AEB">
              <w:rPr>
                <w:rFonts w:cs="Calibri"/>
                <w:b w:val="0"/>
                <w:color w:val="000000"/>
                <w:szCs w:val="20"/>
              </w:rPr>
              <w:t xml:space="preserve">Lectures / </w:t>
            </w:r>
            <w:r w:rsidRPr="00041AEB">
              <w:rPr>
                <w:rFonts w:cs="Calibri"/>
                <w:b w:val="0"/>
                <w:szCs w:val="20"/>
              </w:rPr>
              <w:t>seminars</w:t>
            </w:r>
          </w:p>
        </w:tc>
        <w:tc>
          <w:tcPr>
            <w:tcW w:w="1281" w:type="dxa"/>
          </w:tcPr>
          <w:p w14:paraId="3B4B2F09" w14:textId="06179E8B" w:rsidR="004601E9" w:rsidRPr="00041AEB" w:rsidRDefault="00387FAC" w:rsidP="00041AEB">
            <w:pPr>
              <w:cnfStyle w:val="000000000000" w:firstRow="0" w:lastRow="0" w:firstColumn="0" w:lastColumn="0" w:oddVBand="0" w:evenVBand="0" w:oddHBand="0" w:evenHBand="0" w:firstRowFirstColumn="0" w:firstRowLastColumn="0" w:lastRowFirstColumn="0" w:lastRowLastColumn="0"/>
              <w:rPr>
                <w:rFonts w:cs="Calibri"/>
                <w:color w:val="000000"/>
                <w:szCs w:val="20"/>
              </w:rPr>
            </w:pPr>
            <w:r w:rsidRPr="00041AEB">
              <w:rPr>
                <w:rFonts w:cs="Calibri"/>
                <w:szCs w:val="20"/>
              </w:rPr>
              <w:t>3</w:t>
            </w:r>
            <w:r w:rsidR="00CB1AA9">
              <w:rPr>
                <w:rFonts w:cs="Calibri"/>
                <w:szCs w:val="20"/>
              </w:rPr>
              <w:t>3</w:t>
            </w:r>
          </w:p>
        </w:tc>
      </w:tr>
      <w:tr w:rsidR="004601E9" w:rsidRPr="00041AEB" w14:paraId="0D062D1E" w14:textId="77777777" w:rsidTr="00041AEB">
        <w:trPr>
          <w:trHeight w:val="340"/>
        </w:trPr>
        <w:tc>
          <w:tcPr>
            <w:cnfStyle w:val="001000000000" w:firstRow="0" w:lastRow="0" w:firstColumn="1" w:lastColumn="0" w:oddVBand="0" w:evenVBand="0" w:oddHBand="0" w:evenHBand="0" w:firstRowFirstColumn="0" w:firstRowLastColumn="0" w:lastRowFirstColumn="0" w:lastRowLastColumn="0"/>
            <w:tcW w:w="3969" w:type="dxa"/>
          </w:tcPr>
          <w:p w14:paraId="282538C6" w14:textId="77777777" w:rsidR="004601E9" w:rsidRPr="00041AEB" w:rsidRDefault="00194073">
            <w:pPr>
              <w:ind w:left="142"/>
              <w:rPr>
                <w:rFonts w:cs="Calibri"/>
                <w:b w:val="0"/>
                <w:color w:val="000000"/>
                <w:szCs w:val="20"/>
              </w:rPr>
            </w:pPr>
            <w:r w:rsidRPr="00041AEB">
              <w:rPr>
                <w:rFonts w:cs="Calibri"/>
                <w:b w:val="0"/>
                <w:color w:val="000000"/>
                <w:szCs w:val="20"/>
              </w:rPr>
              <w:t>Specified Learning Activities</w:t>
            </w:r>
          </w:p>
        </w:tc>
        <w:tc>
          <w:tcPr>
            <w:tcW w:w="1281" w:type="dxa"/>
          </w:tcPr>
          <w:p w14:paraId="36FFC3C5" w14:textId="2FB82BE6" w:rsidR="004601E9" w:rsidRPr="00041AEB" w:rsidRDefault="00CB1AA9" w:rsidP="00041AEB">
            <w:pPr>
              <w:cnfStyle w:val="000000000000" w:firstRow="0" w:lastRow="0" w:firstColumn="0" w:lastColumn="0" w:oddVBand="0" w:evenVBand="0" w:oddHBand="0" w:evenHBand="0" w:firstRowFirstColumn="0" w:firstRowLastColumn="0" w:lastRowFirstColumn="0" w:lastRowLastColumn="0"/>
              <w:rPr>
                <w:rFonts w:cs="Calibri"/>
                <w:color w:val="000000"/>
                <w:szCs w:val="20"/>
              </w:rPr>
            </w:pPr>
            <w:r>
              <w:rPr>
                <w:rFonts w:cs="Calibri"/>
                <w:szCs w:val="20"/>
              </w:rPr>
              <w:t>57</w:t>
            </w:r>
          </w:p>
        </w:tc>
      </w:tr>
      <w:tr w:rsidR="004601E9" w:rsidRPr="00041AEB" w14:paraId="108EB27E" w14:textId="77777777" w:rsidTr="00041AEB">
        <w:trPr>
          <w:trHeight w:val="340"/>
        </w:trPr>
        <w:tc>
          <w:tcPr>
            <w:cnfStyle w:val="001000000000" w:firstRow="0" w:lastRow="0" w:firstColumn="1" w:lastColumn="0" w:oddVBand="0" w:evenVBand="0" w:oddHBand="0" w:evenHBand="0" w:firstRowFirstColumn="0" w:firstRowLastColumn="0" w:lastRowFirstColumn="0" w:lastRowLastColumn="0"/>
            <w:tcW w:w="3969" w:type="dxa"/>
          </w:tcPr>
          <w:p w14:paraId="40FD957D" w14:textId="2745EEF5" w:rsidR="004601E9" w:rsidRPr="00041AEB" w:rsidRDefault="00194073">
            <w:pPr>
              <w:ind w:left="142"/>
              <w:rPr>
                <w:rFonts w:cs="Calibri"/>
                <w:b w:val="0"/>
                <w:color w:val="000000"/>
                <w:szCs w:val="20"/>
              </w:rPr>
            </w:pPr>
            <w:r w:rsidRPr="00041AEB">
              <w:rPr>
                <w:rFonts w:cs="Calibri"/>
                <w:b w:val="0"/>
                <w:color w:val="000000"/>
                <w:szCs w:val="20"/>
              </w:rPr>
              <w:t>Autonomous Student Learning</w:t>
            </w:r>
          </w:p>
        </w:tc>
        <w:tc>
          <w:tcPr>
            <w:tcW w:w="1281" w:type="dxa"/>
          </w:tcPr>
          <w:p w14:paraId="5B5CC216" w14:textId="55A981FE" w:rsidR="004601E9" w:rsidRPr="00041AEB" w:rsidRDefault="00194073" w:rsidP="00041AEB">
            <w:pPr>
              <w:cnfStyle w:val="000000000000" w:firstRow="0" w:lastRow="0" w:firstColumn="0" w:lastColumn="0" w:oddVBand="0" w:evenVBand="0" w:oddHBand="0" w:evenHBand="0" w:firstRowFirstColumn="0" w:firstRowLastColumn="0" w:lastRowFirstColumn="0" w:lastRowLastColumn="0"/>
              <w:rPr>
                <w:rFonts w:cs="Calibri"/>
                <w:color w:val="000000"/>
                <w:szCs w:val="20"/>
              </w:rPr>
            </w:pPr>
            <w:r w:rsidRPr="00041AEB">
              <w:rPr>
                <w:rFonts w:cs="Calibri"/>
                <w:color w:val="000000"/>
                <w:szCs w:val="20"/>
              </w:rPr>
              <w:t>1</w:t>
            </w:r>
            <w:r w:rsidR="00387FAC" w:rsidRPr="00041AEB">
              <w:rPr>
                <w:rFonts w:cs="Calibri"/>
                <w:szCs w:val="20"/>
              </w:rPr>
              <w:t>1</w:t>
            </w:r>
            <w:r w:rsidRPr="00041AEB">
              <w:rPr>
                <w:rFonts w:cs="Calibri"/>
                <w:szCs w:val="20"/>
              </w:rPr>
              <w:t>0</w:t>
            </w:r>
          </w:p>
        </w:tc>
      </w:tr>
      <w:tr w:rsidR="00041AEB" w:rsidRPr="00041AEB" w14:paraId="03338E99" w14:textId="77777777" w:rsidTr="00041AEB">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Pr>
          <w:p w14:paraId="1D910B1E" w14:textId="0E787C30" w:rsidR="00041AEB" w:rsidRPr="00041AEB" w:rsidRDefault="00041AEB">
            <w:pPr>
              <w:ind w:left="142"/>
              <w:rPr>
                <w:rFonts w:cs="Calibri"/>
                <w:color w:val="000000"/>
                <w:szCs w:val="20"/>
              </w:rPr>
            </w:pPr>
            <w:r>
              <w:rPr>
                <w:rFonts w:cs="Calibri"/>
                <w:color w:val="000000"/>
                <w:szCs w:val="20"/>
              </w:rPr>
              <w:t>Total</w:t>
            </w:r>
          </w:p>
        </w:tc>
        <w:tc>
          <w:tcPr>
            <w:tcW w:w="1281" w:type="dxa"/>
          </w:tcPr>
          <w:p w14:paraId="60644EE5" w14:textId="3F40FDCD" w:rsidR="00041AEB" w:rsidRPr="00041AEB" w:rsidRDefault="00041AEB" w:rsidP="00041AEB">
            <w:pPr>
              <w:cnfStyle w:val="010000000000" w:firstRow="0" w:lastRow="1"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200</w:t>
            </w:r>
          </w:p>
        </w:tc>
      </w:tr>
    </w:tbl>
    <w:p w14:paraId="4898096B" w14:textId="77777777" w:rsidR="00041AEB" w:rsidRPr="00BB04A4" w:rsidRDefault="00041AEB" w:rsidP="00273039">
      <w:pPr>
        <w:pStyle w:val="Heading2"/>
      </w:pPr>
      <w:r w:rsidRPr="00BB04A4">
        <w:t>What learning supports are provided?</w:t>
      </w:r>
    </w:p>
    <w:p w14:paraId="0BAE32BA" w14:textId="333ACD7F" w:rsidR="00041AEB" w:rsidRPr="00BB04A4" w:rsidRDefault="00910315" w:rsidP="009D2CD2">
      <w:pPr>
        <w:pStyle w:val="ListParagraph"/>
      </w:pPr>
      <w:r>
        <w:t>Bibliographic resources, weekly readings, specific training in / introductions to the cataloguing systems of partner organisations (e.g. archives)</w:t>
      </w:r>
      <w:r w:rsidR="00536CD1">
        <w:t>, workshops on small group work, plus tutorial support.</w:t>
      </w:r>
    </w:p>
    <w:p w14:paraId="389B82DE" w14:textId="77777777" w:rsidR="000008D6" w:rsidRPr="00BB04A4" w:rsidRDefault="000008D6" w:rsidP="00273039">
      <w:pPr>
        <w:pStyle w:val="Heading2"/>
        <w:rPr>
          <w:rFonts w:eastAsia="Arial"/>
        </w:rPr>
      </w:pPr>
      <w:r w:rsidRPr="00BB04A4">
        <w:rPr>
          <w:rFonts w:eastAsia="Arial"/>
        </w:rPr>
        <w:t>Am I eligible to take this module?</w:t>
      </w:r>
    </w:p>
    <w:p w14:paraId="511CC43F" w14:textId="77777777" w:rsidR="009D2CD2" w:rsidRPr="009D2CD2" w:rsidRDefault="009D2CD2" w:rsidP="009D2CD2">
      <w:pPr>
        <w:pStyle w:val="Heading3"/>
      </w:pPr>
      <w:r w:rsidRPr="009D2CD2">
        <w:t>Module Requisites and Incompatibles</w:t>
      </w:r>
    </w:p>
    <w:tbl>
      <w:tblPr>
        <w:tblStyle w:val="GridTable1Light-Accent1"/>
        <w:tblW w:w="9016" w:type="dxa"/>
        <w:tblLayout w:type="fixed"/>
        <w:tblLook w:val="0680" w:firstRow="0" w:lastRow="0" w:firstColumn="1" w:lastColumn="0" w:noHBand="1" w:noVBand="1"/>
      </w:tblPr>
      <w:tblGrid>
        <w:gridCol w:w="1721"/>
        <w:gridCol w:w="7295"/>
      </w:tblGrid>
      <w:tr w:rsidR="004601E9" w:rsidRPr="00BB04A4" w14:paraId="207C9FF9" w14:textId="77777777" w:rsidTr="009D2CD2">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36DE01E2" w14:textId="77777777" w:rsidR="004601E9" w:rsidRPr="00BB04A4" w:rsidRDefault="00194073" w:rsidP="000008D6">
            <w:r w:rsidRPr="00BB04A4">
              <w:t>Pre-requisites</w:t>
            </w:r>
          </w:p>
        </w:tc>
        <w:tc>
          <w:tcPr>
            <w:tcW w:w="7295" w:type="dxa"/>
          </w:tcPr>
          <w:p w14:paraId="7DFAFB03" w14:textId="77777777" w:rsidR="004601E9" w:rsidRPr="00BB04A4" w:rsidRDefault="00194073" w:rsidP="000008D6">
            <w:pPr>
              <w:cnfStyle w:val="000000000000" w:firstRow="0" w:lastRow="0" w:firstColumn="0" w:lastColumn="0" w:oddVBand="0" w:evenVBand="0" w:oddHBand="0" w:evenHBand="0" w:firstRowFirstColumn="0" w:firstRowLastColumn="0" w:lastRowFirstColumn="0" w:lastRowLastColumn="0"/>
            </w:pPr>
            <w:r w:rsidRPr="00BB04A4">
              <w:t>None</w:t>
            </w:r>
          </w:p>
        </w:tc>
      </w:tr>
      <w:tr w:rsidR="004601E9" w:rsidRPr="00BB04A4" w14:paraId="38FA48C8" w14:textId="77777777" w:rsidTr="009D2CD2">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6811CCED" w14:textId="77777777" w:rsidR="004601E9" w:rsidRPr="00BB04A4" w:rsidRDefault="00194073" w:rsidP="000008D6">
            <w:r w:rsidRPr="00BB04A4">
              <w:t>Co-requisites</w:t>
            </w:r>
          </w:p>
        </w:tc>
        <w:tc>
          <w:tcPr>
            <w:tcW w:w="7295" w:type="dxa"/>
          </w:tcPr>
          <w:p w14:paraId="0DEF8627" w14:textId="77777777" w:rsidR="004601E9" w:rsidRPr="00BB04A4" w:rsidRDefault="00194073" w:rsidP="000008D6">
            <w:pPr>
              <w:cnfStyle w:val="000000000000" w:firstRow="0" w:lastRow="0" w:firstColumn="0" w:lastColumn="0" w:oddVBand="0" w:evenVBand="0" w:oddHBand="0" w:evenHBand="0" w:firstRowFirstColumn="0" w:firstRowLastColumn="0" w:lastRowFirstColumn="0" w:lastRowLastColumn="0"/>
            </w:pPr>
            <w:r w:rsidRPr="00BB04A4">
              <w:t>None</w:t>
            </w:r>
          </w:p>
        </w:tc>
      </w:tr>
      <w:tr w:rsidR="004601E9" w:rsidRPr="00BB04A4" w14:paraId="494F8CDB" w14:textId="77777777" w:rsidTr="009D2CD2">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74C6E67D" w14:textId="77777777" w:rsidR="004601E9" w:rsidRPr="00BB04A4" w:rsidRDefault="00194073" w:rsidP="000008D6">
            <w:r w:rsidRPr="00BB04A4">
              <w:t>Incompatibles</w:t>
            </w:r>
          </w:p>
        </w:tc>
        <w:tc>
          <w:tcPr>
            <w:tcW w:w="7295" w:type="dxa"/>
          </w:tcPr>
          <w:p w14:paraId="0D852E58" w14:textId="77777777" w:rsidR="004601E9" w:rsidRPr="00BB04A4" w:rsidRDefault="00194073" w:rsidP="000008D6">
            <w:pPr>
              <w:cnfStyle w:val="000000000000" w:firstRow="0" w:lastRow="0" w:firstColumn="0" w:lastColumn="0" w:oddVBand="0" w:evenVBand="0" w:oddHBand="0" w:evenHBand="0" w:firstRowFirstColumn="0" w:firstRowLastColumn="0" w:lastRowFirstColumn="0" w:lastRowLastColumn="0"/>
            </w:pPr>
            <w:r w:rsidRPr="00BB04A4">
              <w:t>None</w:t>
            </w:r>
          </w:p>
        </w:tc>
      </w:tr>
      <w:tr w:rsidR="004601E9" w:rsidRPr="00BB04A4" w14:paraId="1B7DA8C4" w14:textId="77777777" w:rsidTr="009D2CD2">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0BDB91D1" w14:textId="77777777" w:rsidR="004601E9" w:rsidRPr="00BB04A4" w:rsidRDefault="00194073" w:rsidP="000008D6">
            <w:r w:rsidRPr="00BB04A4">
              <w:lastRenderedPageBreak/>
              <w:t>Prior learning</w:t>
            </w:r>
          </w:p>
        </w:tc>
        <w:tc>
          <w:tcPr>
            <w:tcW w:w="7295" w:type="dxa"/>
          </w:tcPr>
          <w:p w14:paraId="0175B3C1" w14:textId="77777777" w:rsidR="004601E9" w:rsidRPr="00BB04A4" w:rsidRDefault="00194073" w:rsidP="000008D6">
            <w:pPr>
              <w:cnfStyle w:val="000000000000" w:firstRow="0" w:lastRow="0" w:firstColumn="0" w:lastColumn="0" w:oddVBand="0" w:evenVBand="0" w:oddHBand="0" w:evenHBand="0" w:firstRowFirstColumn="0" w:firstRowLastColumn="0" w:lastRowFirstColumn="0" w:lastRowLastColumn="0"/>
            </w:pPr>
            <w:r w:rsidRPr="00BB04A4">
              <w:t>Where a student can demonstrate that they have achieved at least 80% of the learning outcomes of this module, by academic certified achievement, or through quantifiable and documented experience, they can apply to the School for that prior learning to be recognised.  Applications must be received prior to the commencement of delivery of the module.</w:t>
            </w:r>
          </w:p>
        </w:tc>
      </w:tr>
      <w:tr w:rsidR="004601E9" w:rsidRPr="00BB04A4" w14:paraId="4D9AC68A" w14:textId="77777777" w:rsidTr="009D2CD2">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3EC01CC7" w14:textId="77777777" w:rsidR="004601E9" w:rsidRPr="00BB04A4" w:rsidRDefault="00194073" w:rsidP="000008D6">
            <w:r w:rsidRPr="00BB04A4">
              <w:t>Recommended</w:t>
            </w:r>
          </w:p>
        </w:tc>
        <w:tc>
          <w:tcPr>
            <w:tcW w:w="7295" w:type="dxa"/>
          </w:tcPr>
          <w:p w14:paraId="6B1CDEC3" w14:textId="77777777" w:rsidR="004601E9" w:rsidRPr="00BB04A4" w:rsidRDefault="00194073" w:rsidP="000008D6">
            <w:pPr>
              <w:cnfStyle w:val="000000000000" w:firstRow="0" w:lastRow="0" w:firstColumn="0" w:lastColumn="0" w:oddVBand="0" w:evenVBand="0" w:oddHBand="0" w:evenHBand="0" w:firstRowFirstColumn="0" w:firstRowLastColumn="0" w:lastRowFirstColumn="0" w:lastRowLastColumn="0"/>
            </w:pPr>
            <w:r w:rsidRPr="00BB04A4">
              <w:t>None</w:t>
            </w:r>
          </w:p>
        </w:tc>
      </w:tr>
    </w:tbl>
    <w:p w14:paraId="3C77EC4F" w14:textId="77777777" w:rsidR="00041AEB" w:rsidRPr="00BB04A4" w:rsidRDefault="00041AEB" w:rsidP="00273039">
      <w:pPr>
        <w:pStyle w:val="Heading2"/>
        <w:rPr>
          <w:rFonts w:eastAsia="Calibri"/>
        </w:rPr>
      </w:pPr>
      <w:r w:rsidRPr="00BB04A4">
        <w:t>How will I be assessed?</w:t>
      </w:r>
    </w:p>
    <w:tbl>
      <w:tblPr>
        <w:tblStyle w:val="GridTable2-Accent1"/>
        <w:tblW w:w="8359" w:type="dxa"/>
        <w:tblLayout w:type="fixed"/>
        <w:tblLook w:val="0660" w:firstRow="1" w:lastRow="1" w:firstColumn="0" w:lastColumn="0" w:noHBand="1" w:noVBand="1"/>
      </w:tblPr>
      <w:tblGrid>
        <w:gridCol w:w="5382"/>
        <w:gridCol w:w="1701"/>
        <w:gridCol w:w="1276"/>
      </w:tblGrid>
      <w:tr w:rsidR="004601E9" w:rsidRPr="009D2CD2" w14:paraId="69F2FC73" w14:textId="77777777" w:rsidTr="009D2CD2">
        <w:trPr>
          <w:cnfStyle w:val="100000000000" w:firstRow="1" w:lastRow="0" w:firstColumn="0" w:lastColumn="0" w:oddVBand="0" w:evenVBand="0" w:oddHBand="0" w:evenHBand="0" w:firstRowFirstColumn="0" w:firstRowLastColumn="0" w:lastRowFirstColumn="0" w:lastRowLastColumn="0"/>
          <w:trHeight w:val="24"/>
        </w:trPr>
        <w:tc>
          <w:tcPr>
            <w:tcW w:w="5382" w:type="dxa"/>
          </w:tcPr>
          <w:p w14:paraId="42EEBA04" w14:textId="77777777" w:rsidR="004601E9" w:rsidRPr="009D2CD2" w:rsidRDefault="00194073" w:rsidP="000008D6">
            <w:pPr>
              <w:rPr>
                <w:rFonts w:cs="Calibri"/>
                <w:b w:val="0"/>
              </w:rPr>
            </w:pPr>
            <w:r w:rsidRPr="009D2CD2">
              <w:rPr>
                <w:rFonts w:cs="Calibri"/>
                <w:b w:val="0"/>
              </w:rPr>
              <w:t>Assessment tool</w:t>
            </w:r>
          </w:p>
        </w:tc>
        <w:tc>
          <w:tcPr>
            <w:tcW w:w="1701" w:type="dxa"/>
          </w:tcPr>
          <w:p w14:paraId="5B630FC8" w14:textId="77777777" w:rsidR="004601E9" w:rsidRPr="009D2CD2" w:rsidRDefault="00194073" w:rsidP="000008D6">
            <w:pPr>
              <w:rPr>
                <w:rFonts w:cs="Calibri"/>
                <w:b w:val="0"/>
              </w:rPr>
            </w:pPr>
            <w:r w:rsidRPr="009D2CD2">
              <w:rPr>
                <w:rFonts w:cs="Calibri"/>
                <w:b w:val="0"/>
              </w:rPr>
              <w:t>% of final grade</w:t>
            </w:r>
          </w:p>
        </w:tc>
        <w:tc>
          <w:tcPr>
            <w:tcW w:w="1276" w:type="dxa"/>
          </w:tcPr>
          <w:p w14:paraId="02614DD1" w14:textId="77777777" w:rsidR="004601E9" w:rsidRPr="009D2CD2" w:rsidRDefault="00194073" w:rsidP="000008D6">
            <w:pPr>
              <w:rPr>
                <w:rFonts w:cs="Calibri"/>
                <w:b w:val="0"/>
              </w:rPr>
            </w:pPr>
            <w:r w:rsidRPr="009D2CD2">
              <w:rPr>
                <w:rFonts w:cs="Calibri"/>
                <w:b w:val="0"/>
              </w:rPr>
              <w:t>Timing</w:t>
            </w:r>
          </w:p>
        </w:tc>
      </w:tr>
      <w:tr w:rsidR="004601E9" w:rsidRPr="009D2CD2" w14:paraId="1E8C8EA1" w14:textId="77777777" w:rsidTr="009D2CD2">
        <w:trPr>
          <w:trHeight w:val="340"/>
        </w:trPr>
        <w:tc>
          <w:tcPr>
            <w:tcW w:w="5382" w:type="dxa"/>
          </w:tcPr>
          <w:p w14:paraId="29CBCA75" w14:textId="24B40B68" w:rsidR="004601E9" w:rsidRPr="009D2CD2" w:rsidRDefault="00194073" w:rsidP="00A66DC9">
            <w:pPr>
              <w:rPr>
                <w:rFonts w:cs="Calibri"/>
              </w:rPr>
            </w:pPr>
            <w:r w:rsidRPr="009D2CD2">
              <w:rPr>
                <w:rFonts w:cs="Calibri"/>
              </w:rPr>
              <w:t>Public presentation/display</w:t>
            </w:r>
            <w:r w:rsidR="00536CD1" w:rsidRPr="009D2CD2">
              <w:rPr>
                <w:rFonts w:cs="Calibri"/>
              </w:rPr>
              <w:t xml:space="preserve"> accompanied by a critical report and documentation outlining the approach taken</w:t>
            </w:r>
          </w:p>
        </w:tc>
        <w:tc>
          <w:tcPr>
            <w:tcW w:w="1701" w:type="dxa"/>
          </w:tcPr>
          <w:p w14:paraId="0A22AC98" w14:textId="00F55143" w:rsidR="004601E9" w:rsidRPr="009D2CD2" w:rsidRDefault="00536CD1" w:rsidP="000008D6">
            <w:pPr>
              <w:rPr>
                <w:rFonts w:cs="Calibri"/>
              </w:rPr>
            </w:pPr>
            <w:r w:rsidRPr="009D2CD2">
              <w:rPr>
                <w:rFonts w:cs="Calibri"/>
              </w:rPr>
              <w:t>100</w:t>
            </w:r>
            <w:r w:rsidR="00194073" w:rsidRPr="009D2CD2">
              <w:rPr>
                <w:rFonts w:cs="Calibri"/>
              </w:rPr>
              <w:t>%</w:t>
            </w:r>
          </w:p>
        </w:tc>
        <w:tc>
          <w:tcPr>
            <w:tcW w:w="1276" w:type="dxa"/>
          </w:tcPr>
          <w:p w14:paraId="6F43FEA2" w14:textId="77777777" w:rsidR="004601E9" w:rsidRPr="009D2CD2" w:rsidRDefault="00194073" w:rsidP="000008D6">
            <w:pPr>
              <w:rPr>
                <w:rFonts w:cs="Calibri"/>
              </w:rPr>
            </w:pPr>
            <w:r w:rsidRPr="009D2CD2">
              <w:rPr>
                <w:rFonts w:cs="Calibri"/>
              </w:rPr>
              <w:t>Week 13</w:t>
            </w:r>
          </w:p>
        </w:tc>
      </w:tr>
      <w:tr w:rsidR="004601E9" w:rsidRPr="009D2CD2" w14:paraId="21C5C3E1" w14:textId="77777777" w:rsidTr="009D2CD2">
        <w:trPr>
          <w:cnfStyle w:val="010000000000" w:firstRow="0" w:lastRow="1" w:firstColumn="0" w:lastColumn="0" w:oddVBand="0" w:evenVBand="0" w:oddHBand="0" w:evenHBand="0" w:firstRowFirstColumn="0" w:firstRowLastColumn="0" w:lastRowFirstColumn="0" w:lastRowLastColumn="0"/>
          <w:trHeight w:val="340"/>
        </w:trPr>
        <w:tc>
          <w:tcPr>
            <w:tcW w:w="5382" w:type="dxa"/>
          </w:tcPr>
          <w:p w14:paraId="1148810C" w14:textId="77777777" w:rsidR="004601E9" w:rsidRPr="009D2CD2" w:rsidRDefault="00194073" w:rsidP="000008D6">
            <w:pPr>
              <w:rPr>
                <w:rFonts w:cs="Calibri"/>
                <w:b w:val="0"/>
              </w:rPr>
            </w:pPr>
            <w:r w:rsidRPr="009D2CD2">
              <w:rPr>
                <w:rFonts w:cs="Calibri"/>
                <w:b w:val="0"/>
              </w:rPr>
              <w:t>Total</w:t>
            </w:r>
          </w:p>
        </w:tc>
        <w:tc>
          <w:tcPr>
            <w:tcW w:w="1701" w:type="dxa"/>
          </w:tcPr>
          <w:p w14:paraId="258B5292" w14:textId="77777777" w:rsidR="004601E9" w:rsidRPr="009D2CD2" w:rsidRDefault="00194073" w:rsidP="000008D6">
            <w:pPr>
              <w:rPr>
                <w:rFonts w:cs="Calibri"/>
                <w:b w:val="0"/>
              </w:rPr>
            </w:pPr>
            <w:r w:rsidRPr="009D2CD2">
              <w:rPr>
                <w:rFonts w:cs="Calibri"/>
                <w:b w:val="0"/>
              </w:rPr>
              <w:t>100%</w:t>
            </w:r>
          </w:p>
        </w:tc>
        <w:tc>
          <w:tcPr>
            <w:tcW w:w="1276" w:type="dxa"/>
          </w:tcPr>
          <w:p w14:paraId="6CEB8121" w14:textId="77777777" w:rsidR="004601E9" w:rsidRPr="009D2CD2" w:rsidRDefault="004601E9" w:rsidP="000008D6">
            <w:pPr>
              <w:rPr>
                <w:rFonts w:cs="Calibri"/>
                <w:b w:val="0"/>
              </w:rPr>
            </w:pPr>
          </w:p>
        </w:tc>
      </w:tr>
    </w:tbl>
    <w:p w14:paraId="25455F24" w14:textId="77777777" w:rsidR="000008D6" w:rsidRDefault="000008D6">
      <w:pPr>
        <w:rPr>
          <w:rFonts w:eastAsia="Arial" w:cs="Calibri"/>
          <w:color w:val="000000"/>
          <w:sz w:val="20"/>
          <w:szCs w:val="20"/>
        </w:rPr>
      </w:pPr>
    </w:p>
    <w:tbl>
      <w:tblPr>
        <w:tblStyle w:val="GridTable2-Accent1"/>
        <w:tblW w:w="0" w:type="auto"/>
        <w:tblLook w:val="0620" w:firstRow="1" w:lastRow="0" w:firstColumn="0" w:lastColumn="0" w:noHBand="1" w:noVBand="1"/>
      </w:tblPr>
      <w:tblGrid>
        <w:gridCol w:w="5387"/>
        <w:gridCol w:w="2971"/>
      </w:tblGrid>
      <w:tr w:rsidR="00A66DC9" w:rsidRPr="00A66DC9" w14:paraId="4FB9C0B2" w14:textId="77777777" w:rsidTr="009D2CD2">
        <w:trPr>
          <w:cnfStyle w:val="100000000000" w:firstRow="1" w:lastRow="0" w:firstColumn="0" w:lastColumn="0" w:oddVBand="0" w:evenVBand="0" w:oddHBand="0" w:evenHBand="0" w:firstRowFirstColumn="0" w:firstRowLastColumn="0" w:lastRowFirstColumn="0" w:lastRowLastColumn="0"/>
          <w:trHeight w:val="70"/>
        </w:trPr>
        <w:tc>
          <w:tcPr>
            <w:tcW w:w="5387" w:type="dxa"/>
          </w:tcPr>
          <w:p w14:paraId="04277951" w14:textId="77777777" w:rsidR="00A66DC9" w:rsidRPr="00A66DC9" w:rsidRDefault="00A66DC9" w:rsidP="00A66DC9">
            <w:pPr>
              <w:rPr>
                <w:rFonts w:cs="Calibri"/>
              </w:rPr>
            </w:pPr>
            <w:r w:rsidRPr="00A66DC9">
              <w:rPr>
                <w:rFonts w:cs="Calibri"/>
              </w:rPr>
              <w:t>Assessment tool</w:t>
            </w:r>
          </w:p>
        </w:tc>
        <w:tc>
          <w:tcPr>
            <w:tcW w:w="2971" w:type="dxa"/>
          </w:tcPr>
          <w:p w14:paraId="7965C169" w14:textId="77777777" w:rsidR="00A66DC9" w:rsidRPr="00A66DC9" w:rsidRDefault="00A66DC9" w:rsidP="00A66DC9">
            <w:pPr>
              <w:rPr>
                <w:rFonts w:cs="Calibri"/>
              </w:rPr>
            </w:pPr>
            <w:r w:rsidRPr="00A66DC9">
              <w:rPr>
                <w:rFonts w:cs="Calibri"/>
              </w:rPr>
              <w:t>Learning outcomes assessed</w:t>
            </w:r>
          </w:p>
        </w:tc>
      </w:tr>
      <w:tr w:rsidR="00A66DC9" w:rsidRPr="00A66DC9" w14:paraId="0670C36A" w14:textId="77777777" w:rsidTr="009D2CD2">
        <w:trPr>
          <w:trHeight w:val="227"/>
        </w:trPr>
        <w:tc>
          <w:tcPr>
            <w:tcW w:w="5387" w:type="dxa"/>
          </w:tcPr>
          <w:p w14:paraId="242247B4" w14:textId="313A1CE2" w:rsidR="00A66DC9" w:rsidRPr="00A66DC9" w:rsidRDefault="00536CD1" w:rsidP="00A66DC9">
            <w:pPr>
              <w:rPr>
                <w:rFonts w:cs="Calibri"/>
              </w:rPr>
            </w:pPr>
            <w:r w:rsidRPr="000008D6">
              <w:rPr>
                <w:rFonts w:cs="Calibri"/>
              </w:rPr>
              <w:t>Public presentation/display</w:t>
            </w:r>
            <w:r>
              <w:rPr>
                <w:rFonts w:cs="Calibri"/>
              </w:rPr>
              <w:t xml:space="preserve"> accompanied by a critical report and documentation outlining the approach taken</w:t>
            </w:r>
          </w:p>
        </w:tc>
        <w:tc>
          <w:tcPr>
            <w:tcW w:w="2971" w:type="dxa"/>
          </w:tcPr>
          <w:p w14:paraId="52259277" w14:textId="0F2B6A96" w:rsidR="00A66DC9" w:rsidRPr="00A66DC9" w:rsidRDefault="00536CD1" w:rsidP="00A66DC9">
            <w:pPr>
              <w:rPr>
                <w:rFonts w:cs="Calibri"/>
              </w:rPr>
            </w:pPr>
            <w:r>
              <w:rPr>
                <w:rFonts w:cs="Calibri"/>
              </w:rPr>
              <w:t>1,2,3,4</w:t>
            </w:r>
          </w:p>
        </w:tc>
      </w:tr>
    </w:tbl>
    <w:p w14:paraId="2068B319" w14:textId="77777777" w:rsidR="00536CD1" w:rsidRDefault="00536CD1" w:rsidP="009D2CD2"/>
    <w:p w14:paraId="6321F1DB" w14:textId="1D0D404E" w:rsidR="004601E9" w:rsidRPr="00BB04A4" w:rsidRDefault="00194073" w:rsidP="000008D6">
      <w:pPr>
        <w:pStyle w:val="ListParagraph"/>
      </w:pPr>
      <w:r w:rsidRPr="00BB04A4">
        <w:t xml:space="preserve">Students will be required to develop a public-facing form of presentation which captures the research and analysis undertaken. </w:t>
      </w:r>
      <w:r w:rsidR="000008D6">
        <w:t xml:space="preserve"> </w:t>
      </w:r>
      <w:r w:rsidRPr="00BB04A4">
        <w:t xml:space="preserve">This might take the form of a display and/or a publication. </w:t>
      </w:r>
      <w:r w:rsidR="000008D6">
        <w:t xml:space="preserve"> </w:t>
      </w:r>
      <w:r w:rsidRPr="00BB04A4">
        <w:t>The precise nature of this will be negotiated with the partner organisation/s.</w:t>
      </w:r>
      <w:r w:rsidR="000008D6">
        <w:t xml:space="preserve"> </w:t>
      </w:r>
      <w:r w:rsidRPr="00BB04A4">
        <w:t xml:space="preserve"> If real opportunities to publish/display are not available, a substantial draft version may be submitted. </w:t>
      </w:r>
      <w:r w:rsidR="000008D6">
        <w:t xml:space="preserve"> </w:t>
      </w:r>
      <w:r w:rsidRPr="00BB04A4">
        <w:t>In addition, the student will submit a critical self-reflective report with supporting documentation.</w:t>
      </w:r>
      <w:r w:rsidR="000008D6">
        <w:t xml:space="preserve"> </w:t>
      </w:r>
      <w:r w:rsidRPr="00BB04A4">
        <w:t xml:space="preserve"> This will map the experience of the project against the concepts and ideas discussed in the seminars. </w:t>
      </w:r>
    </w:p>
    <w:p w14:paraId="284840F1" w14:textId="367BDF43" w:rsidR="004601E9" w:rsidRPr="00BB04A4" w:rsidRDefault="00194073" w:rsidP="000008D6">
      <w:pPr>
        <w:pStyle w:val="ListParagraph"/>
      </w:pPr>
      <w:r w:rsidRPr="00BB04A4">
        <w:t xml:space="preserve">Student work will be measured using the </w:t>
      </w:r>
      <w:hyperlink r:id="rId8" w:history="1">
        <w:r w:rsidRPr="00F520CF">
          <w:rPr>
            <w:rStyle w:val="Hyperlink"/>
          </w:rPr>
          <w:t>NCAD Grade Assessment criteria</w:t>
        </w:r>
      </w:hyperlink>
      <w:r w:rsidRPr="00BB04A4">
        <w:t xml:space="preserve"> (see Visual Culture Handbook) against the following:</w:t>
      </w:r>
    </w:p>
    <w:p w14:paraId="76F023FB" w14:textId="74BCDA65" w:rsidR="004601E9" w:rsidRPr="00BB04A4" w:rsidRDefault="00194073" w:rsidP="00F520CF">
      <w:pPr>
        <w:pStyle w:val="Bullets"/>
        <w:numPr>
          <w:ilvl w:val="0"/>
          <w:numId w:val="6"/>
        </w:numPr>
      </w:pPr>
      <w:r w:rsidRPr="00BB04A4">
        <w:t>Research: preparation with sufficient notes and visuals, evidence of consulting a range of resources that inform and support the presentation; clear notes and references delivered following the oral presentation to peers and module coordinator as part of t</w:t>
      </w:r>
      <w:r w:rsidR="00F520CF">
        <w:t>he assessment task.</w:t>
      </w:r>
    </w:p>
    <w:p w14:paraId="75A14A7E" w14:textId="77777777" w:rsidR="004601E9" w:rsidRPr="00BB04A4" w:rsidRDefault="00194073" w:rsidP="00F520CF">
      <w:pPr>
        <w:pStyle w:val="Bullets"/>
        <w:numPr>
          <w:ilvl w:val="0"/>
          <w:numId w:val="6"/>
        </w:numPr>
      </w:pPr>
      <w:r w:rsidRPr="00BB04A4">
        <w:t>Analysis: present and analyse the materials through visual aids and notes that support a position or idea.</w:t>
      </w:r>
    </w:p>
    <w:p w14:paraId="47B3BCC8" w14:textId="5DC09A85" w:rsidR="004601E9" w:rsidRPr="00BB04A4" w:rsidRDefault="00194073" w:rsidP="00F520CF">
      <w:pPr>
        <w:pStyle w:val="Bullets"/>
        <w:numPr>
          <w:ilvl w:val="0"/>
          <w:numId w:val="6"/>
        </w:numPr>
      </w:pPr>
      <w:r w:rsidRPr="00BB04A4">
        <w:t>Communication: Clear and prepared oral presentation, delivered in a rehearsed and organised manner; submission of notes that convey the oral presentation clearly and ac</w:t>
      </w:r>
      <w:r w:rsidR="00F520CF">
        <w:t>cording to handbook guidelines.</w:t>
      </w:r>
    </w:p>
    <w:p w14:paraId="53C24B36" w14:textId="77777777" w:rsidR="00041AEB" w:rsidRPr="00BB04A4" w:rsidRDefault="00041AEB" w:rsidP="00273039">
      <w:pPr>
        <w:pStyle w:val="Heading2"/>
        <w:rPr>
          <w:rFonts w:eastAsia="Calibri"/>
        </w:rPr>
      </w:pPr>
      <w:r w:rsidRPr="00BB04A4">
        <w:t>Feedback, results and grading</w:t>
      </w:r>
    </w:p>
    <w:p w14:paraId="5FCC3626" w14:textId="1C3BA8D5" w:rsidR="00041AEB" w:rsidRPr="00BB04A4" w:rsidRDefault="00041AEB" w:rsidP="00F520CF">
      <w:pPr>
        <w:pStyle w:val="ListParagraph"/>
      </w:pPr>
      <w:r w:rsidRPr="00BB04A4">
        <w:t xml:space="preserve">Work submitted for assessment will be graded using </w:t>
      </w:r>
      <w:hyperlink r:id="rId9" w:history="1">
        <w:r w:rsidRPr="00F520CF">
          <w:rPr>
            <w:rStyle w:val="Hyperlink"/>
          </w:rPr>
          <w:t>NCAD Grade Assessment Criteria</w:t>
        </w:r>
      </w:hyperlink>
      <w:r w:rsidR="00F520CF">
        <w:t>.</w:t>
      </w:r>
    </w:p>
    <w:p w14:paraId="69B40493" w14:textId="77777777" w:rsidR="00041AEB" w:rsidRPr="00BB04A4" w:rsidRDefault="00041AEB" w:rsidP="00273039">
      <w:pPr>
        <w:pStyle w:val="Heading2"/>
        <w:rPr>
          <w:rFonts w:eastAsia="Calibri"/>
        </w:rPr>
      </w:pPr>
      <w:r w:rsidRPr="00BB04A4">
        <w:t>What happens if I fail?</w:t>
      </w:r>
    </w:p>
    <w:p w14:paraId="0B43FA35" w14:textId="77777777" w:rsidR="00041AEB" w:rsidRPr="00BB04A4" w:rsidRDefault="00041AEB" w:rsidP="00F520CF">
      <w:pPr>
        <w:pStyle w:val="ListParagraph"/>
      </w:pPr>
      <w:r w:rsidRPr="00BB04A4">
        <w:t>Opportunities will be provided during or at the end of Trimester 2 to students who do not complete all assessments in Trimester 1, but students will not be able to progress to the next stage of the programme until they have successfully completed all Year 2 modules, equivalent to 60 credits.</w:t>
      </w:r>
    </w:p>
    <w:p w14:paraId="4948BA48" w14:textId="77777777" w:rsidR="00041AEB" w:rsidRPr="00BB04A4" w:rsidRDefault="00041AEB" w:rsidP="00273039">
      <w:pPr>
        <w:pStyle w:val="Heading2"/>
        <w:rPr>
          <w:rFonts w:eastAsia="Calibri"/>
        </w:rPr>
      </w:pPr>
      <w:r w:rsidRPr="00BB04A4">
        <w:lastRenderedPageBreak/>
        <w:t>When and where is this module offered?</w:t>
      </w:r>
    </w:p>
    <w:p w14:paraId="061F3ACB" w14:textId="77777777" w:rsidR="00041AEB" w:rsidRPr="00BB04A4" w:rsidRDefault="00041AEB" w:rsidP="00F520CF">
      <w:pPr>
        <w:pStyle w:val="ListParagraph"/>
      </w:pPr>
      <w:r w:rsidRPr="00BB04A4">
        <w:t>Venue TBC / Weeks 1-11</w:t>
      </w:r>
    </w:p>
    <w:p w14:paraId="771F4107" w14:textId="77777777" w:rsidR="00041AEB" w:rsidRPr="00BB04A4" w:rsidRDefault="00041AEB" w:rsidP="00273039">
      <w:pPr>
        <w:pStyle w:val="Heading2"/>
        <w:rPr>
          <w:rFonts w:eastAsia="Calibri"/>
        </w:rPr>
      </w:pPr>
      <w:r w:rsidRPr="00BB04A4">
        <w:t>How will I have the chance to evaluate the module?</w:t>
      </w:r>
    </w:p>
    <w:p w14:paraId="050EAE18" w14:textId="77777777" w:rsidR="00041AEB" w:rsidRPr="00BB04A4" w:rsidRDefault="00041AEB" w:rsidP="00F520CF">
      <w:pPr>
        <w:pStyle w:val="ListParagraph"/>
      </w:pPr>
      <w:r w:rsidRPr="00BB04A4">
        <w:t>It is important to NCAD that students inform the development of teaching and learning at NCAD.  We encourage all students to communicate their concerns and their observations about their study to members of staff so that any changes can be made in a timely manner.</w:t>
      </w:r>
    </w:p>
    <w:p w14:paraId="1F398EA3" w14:textId="27731017" w:rsidR="00041AEB" w:rsidRPr="00BB04A4" w:rsidRDefault="00041AEB" w:rsidP="00F520CF">
      <w:pPr>
        <w:pStyle w:val="ListParagraph"/>
      </w:pPr>
      <w:r w:rsidRPr="00BB04A4">
        <w:t xml:space="preserve">About two-thirds of the way through the </w:t>
      </w:r>
      <w:r w:rsidR="009D2CD2">
        <w:t>year</w:t>
      </w:r>
      <w:r w:rsidRPr="00BB04A4">
        <w:t>, a student forum will be convened to gather students’ comments about their study and the delivery of the programme.  In addition, at the end of Trimester 2, students have the opportunity to complete an online evaluation of their study and experience at NCAD.  These evaluation events are important to current and future students, to ensure we can enhance the delivery of programmes at NCAD.</w:t>
      </w:r>
    </w:p>
    <w:p w14:paraId="5C1935A8" w14:textId="7D0F22C0" w:rsidR="004601E9" w:rsidRPr="00F520CF" w:rsidRDefault="00041AEB" w:rsidP="00F520CF">
      <w:pPr>
        <w:pStyle w:val="ListParagraph"/>
      </w:pPr>
      <w:r w:rsidRPr="00BB04A4">
        <w:t>In addition, you are invited to discuss your experience on the module with your lecturers at any point during the year.  You can also relay your comments to the class student representative who will communicate your comments to the staff.</w:t>
      </w:r>
    </w:p>
    <w:p w14:paraId="4E2C61F2" w14:textId="77777777" w:rsidR="004601E9" w:rsidRPr="009D2CD2" w:rsidRDefault="00194073" w:rsidP="009D2CD2">
      <w:pPr>
        <w:jc w:val="center"/>
        <w:rPr>
          <w:b/>
          <w:sz w:val="20"/>
        </w:rPr>
      </w:pPr>
      <w:r w:rsidRPr="009D2CD2">
        <w:rPr>
          <w:b/>
          <w:sz w:val="20"/>
        </w:rPr>
        <w:t>For further details on the content of your module and teaching arrangements,</w:t>
      </w:r>
      <w:r w:rsidRPr="009D2CD2">
        <w:rPr>
          <w:b/>
          <w:sz w:val="20"/>
        </w:rPr>
        <w:br/>
        <w:t>consult your Programme or Module Handbook</w:t>
      </w:r>
    </w:p>
    <w:sectPr w:rsidR="004601E9" w:rsidRPr="009D2CD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454"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C6A82" w14:textId="77777777" w:rsidR="00F21668" w:rsidRDefault="00F21668">
      <w:r>
        <w:separator/>
      </w:r>
    </w:p>
  </w:endnote>
  <w:endnote w:type="continuationSeparator" w:id="0">
    <w:p w14:paraId="7E7CF69D" w14:textId="77777777" w:rsidR="00F21668" w:rsidRDefault="00F2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Times">
    <w:altName w:val="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108F3" w14:textId="77777777" w:rsidR="004601E9" w:rsidRDefault="00194073">
    <w:pPr>
      <w:rPr>
        <w:i/>
        <w:sz w:val="18"/>
        <w:szCs w:val="18"/>
      </w:rPr>
    </w:pPr>
    <w:r>
      <w:rPr>
        <w:i/>
        <w:sz w:val="18"/>
        <w:szCs w:val="18"/>
      </w:rPr>
      <w:t>VC1-1: Introduction to Key Concepts in Art &amp; Design 1A</w:t>
    </w:r>
  </w:p>
  <w:p w14:paraId="31F144EB" w14:textId="30654CDE" w:rsidR="004601E9" w:rsidRDefault="00194073">
    <w:pPr>
      <w:pBdr>
        <w:top w:val="single" w:sz="4" w:space="1" w:color="4472C4"/>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ab/>
      <w:t xml:space="preserve">Page </w:t>
    </w:r>
    <w:r>
      <w:rPr>
        <w:rFonts w:cs="Calibri"/>
        <w:i/>
        <w:color w:val="000000"/>
        <w:sz w:val="18"/>
        <w:szCs w:val="18"/>
      </w:rPr>
      <w:fldChar w:fldCharType="begin"/>
    </w:r>
    <w:r>
      <w:rPr>
        <w:rFonts w:cs="Calibri"/>
        <w:i/>
        <w:color w:val="000000"/>
        <w:sz w:val="18"/>
        <w:szCs w:val="18"/>
      </w:rPr>
      <w:instrText>PAGE</w:instrText>
    </w:r>
    <w:r>
      <w:rPr>
        <w:rFonts w:cs="Calibri"/>
        <w:i/>
        <w:color w:val="000000"/>
        <w:sz w:val="18"/>
        <w:szCs w:val="18"/>
      </w:rPr>
      <w:fldChar w:fldCharType="end"/>
    </w:r>
    <w:r>
      <w:rPr>
        <w:rFonts w:cs="Calibri"/>
        <w:i/>
        <w:color w:val="000000"/>
        <w:sz w:val="18"/>
        <w:szCs w:val="18"/>
      </w:rPr>
      <w:t xml:space="preserve"> of </w:t>
    </w:r>
    <w:r>
      <w:rPr>
        <w:rFonts w:cs="Calibri"/>
        <w:i/>
        <w:color w:val="000000"/>
        <w:sz w:val="18"/>
        <w:szCs w:val="18"/>
      </w:rPr>
      <w:fldChar w:fldCharType="begin"/>
    </w:r>
    <w:r>
      <w:rPr>
        <w:rFonts w:cs="Calibri"/>
        <w:i/>
        <w:color w:val="000000"/>
        <w:sz w:val="18"/>
        <w:szCs w:val="18"/>
      </w:rPr>
      <w:instrText>NUMPAGES</w:instrText>
    </w:r>
    <w:r>
      <w:rPr>
        <w:rFonts w:cs="Calibri"/>
        <w:i/>
        <w:color w:val="000000"/>
        <w:sz w:val="18"/>
        <w:szCs w:val="18"/>
      </w:rPr>
      <w:fldChar w:fldCharType="separate"/>
    </w:r>
    <w:r w:rsidR="003A3160">
      <w:rPr>
        <w:rFonts w:cs="Calibri"/>
        <w:i/>
        <w:noProof/>
        <w:color w:val="000000"/>
        <w:sz w:val="18"/>
        <w:szCs w:val="18"/>
      </w:rPr>
      <w:t>4</w:t>
    </w:r>
    <w:r>
      <w:rPr>
        <w:rFonts w:cs="Calibri"/>
        <w:i/>
        <w:color w:val="000000"/>
        <w:sz w:val="18"/>
        <w:szCs w:val="18"/>
      </w:rPr>
      <w:fldChar w:fldCharType="end"/>
    </w:r>
    <w:r>
      <w:rPr>
        <w:rFonts w:cs="Calibri"/>
        <w:i/>
        <w:color w:val="000000"/>
        <w:sz w:val="18"/>
        <w:szCs w:val="18"/>
      </w:rPr>
      <w:tab/>
      <w:t>Module Descriptor</w:t>
    </w:r>
  </w:p>
  <w:p w14:paraId="0FEDC1C4" w14:textId="77777777" w:rsidR="004601E9" w:rsidRDefault="00194073">
    <w:pPr>
      <w:pBdr>
        <w:top w:val="none" w:sz="0" w:space="0" w:color="000000"/>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Published: June 2019</w:t>
    </w:r>
    <w:r>
      <w:rPr>
        <w:rFonts w:cs="Calibri"/>
        <w:i/>
        <w:color w:val="000000"/>
        <w:sz w:val="18"/>
        <w:szCs w:val="18"/>
      </w:rPr>
      <w:tab/>
    </w:r>
    <w:r>
      <w:rPr>
        <w:rFonts w:cs="Calibri"/>
        <w:i/>
        <w:color w:val="000000"/>
        <w:sz w:val="18"/>
        <w:szCs w:val="18"/>
      </w:rPr>
      <w:tab/>
      <w:t>Next review: June 2020</w:t>
    </w:r>
  </w:p>
  <w:p w14:paraId="2F2F403D" w14:textId="77777777" w:rsidR="004601E9" w:rsidRDefault="00194073">
    <w:pPr>
      <w:pBdr>
        <w:top w:val="none" w:sz="0" w:space="0" w:color="000000"/>
        <w:left w:val="nil"/>
        <w:bottom w:val="nil"/>
        <w:right w:val="nil"/>
        <w:between w:val="nil"/>
      </w:pBdr>
      <w:tabs>
        <w:tab w:val="center" w:pos="4513"/>
        <w:tab w:val="right" w:pos="9026"/>
      </w:tabs>
      <w:jc w:val="center"/>
      <w:rPr>
        <w:rFonts w:cs="Calibri"/>
        <w:color w:val="000000"/>
        <w:sz w:val="16"/>
        <w:szCs w:val="16"/>
      </w:rPr>
    </w:pPr>
    <w:r>
      <w:rPr>
        <w:rFonts w:cs="Calibri"/>
        <w:color w:val="000000"/>
        <w:sz w:val="16"/>
        <w:szCs w:val="16"/>
      </w:rPr>
      <w:t>This document was prepared for NCAD students.  It may not be reproduced in whole or part without permission from NCAD.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0202" w14:textId="77777777" w:rsidR="00273039" w:rsidRDefault="00273039" w:rsidP="00273039">
    <w:pPr>
      <w:pBdr>
        <w:top w:val="single" w:sz="4" w:space="1" w:color="4472C4"/>
        <w:left w:val="nil"/>
        <w:bottom w:val="nil"/>
        <w:right w:val="nil"/>
        <w:between w:val="nil"/>
      </w:pBdr>
      <w:tabs>
        <w:tab w:val="center" w:pos="4513"/>
        <w:tab w:val="right" w:pos="9026"/>
        <w:tab w:val="center" w:pos="4820"/>
        <w:tab w:val="right" w:pos="9638"/>
      </w:tabs>
      <w:rPr>
        <w:rFonts w:cs="Calibri"/>
        <w:i/>
        <w:color w:val="000000"/>
        <w:sz w:val="18"/>
        <w:szCs w:val="18"/>
      </w:rPr>
    </w:pPr>
    <w:r>
      <w:rPr>
        <w:i/>
        <w:sz w:val="18"/>
        <w:szCs w:val="18"/>
      </w:rPr>
      <w:t>VC2-3 Professional Practice: Institutions</w:t>
    </w:r>
    <w:r>
      <w:rPr>
        <w:rFonts w:cs="Calibri"/>
        <w:i/>
        <w:color w:val="000000"/>
        <w:sz w:val="18"/>
        <w:szCs w:val="18"/>
      </w:rPr>
      <w:tab/>
    </w:r>
    <w:r>
      <w:rPr>
        <w:rFonts w:cs="Calibri"/>
        <w:i/>
        <w:color w:val="000000"/>
        <w:sz w:val="18"/>
        <w:szCs w:val="18"/>
      </w:rPr>
      <w:tab/>
      <w:t>Module Descriptor</w:t>
    </w:r>
  </w:p>
  <w:p w14:paraId="7ED9D76C" w14:textId="0A9A2757" w:rsidR="00273039" w:rsidRDefault="00A556B7" w:rsidP="00273039">
    <w:pPr>
      <w:pBdr>
        <w:top w:val="none" w:sz="0" w:space="0" w:color="000000"/>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 xml:space="preserve">Published: </w:t>
    </w:r>
    <w:r>
      <w:rPr>
        <w:i/>
        <w:sz w:val="18"/>
        <w:szCs w:val="18"/>
      </w:rPr>
      <w:t>September 2023</w:t>
    </w:r>
    <w:r w:rsidR="00273039">
      <w:rPr>
        <w:i/>
        <w:sz w:val="18"/>
        <w:szCs w:val="18"/>
      </w:rPr>
      <w:tab/>
    </w:r>
    <w:r w:rsidR="00273039">
      <w:rPr>
        <w:rFonts w:cs="Calibri"/>
        <w:i/>
        <w:color w:val="000000"/>
        <w:sz w:val="18"/>
        <w:szCs w:val="18"/>
      </w:rPr>
      <w:t xml:space="preserve">Page </w:t>
    </w:r>
    <w:r w:rsidR="00273039">
      <w:rPr>
        <w:rFonts w:cs="Calibri"/>
        <w:i/>
        <w:color w:val="000000"/>
        <w:sz w:val="18"/>
        <w:szCs w:val="18"/>
      </w:rPr>
      <w:fldChar w:fldCharType="begin"/>
    </w:r>
    <w:r w:rsidR="00273039">
      <w:rPr>
        <w:rFonts w:cs="Calibri"/>
        <w:i/>
        <w:color w:val="000000"/>
        <w:sz w:val="18"/>
        <w:szCs w:val="18"/>
      </w:rPr>
      <w:instrText>PAGE</w:instrText>
    </w:r>
    <w:r w:rsidR="00273039">
      <w:rPr>
        <w:rFonts w:cs="Calibri"/>
        <w:i/>
        <w:color w:val="000000"/>
        <w:sz w:val="18"/>
        <w:szCs w:val="18"/>
      </w:rPr>
      <w:fldChar w:fldCharType="separate"/>
    </w:r>
    <w:r w:rsidR="00273039">
      <w:rPr>
        <w:rFonts w:cs="Calibri"/>
        <w:i/>
        <w:color w:val="000000"/>
        <w:sz w:val="18"/>
        <w:szCs w:val="18"/>
      </w:rPr>
      <w:t>1</w:t>
    </w:r>
    <w:r w:rsidR="00273039">
      <w:rPr>
        <w:rFonts w:cs="Calibri"/>
        <w:i/>
        <w:color w:val="000000"/>
        <w:sz w:val="18"/>
        <w:szCs w:val="18"/>
      </w:rPr>
      <w:fldChar w:fldCharType="end"/>
    </w:r>
    <w:r w:rsidR="00273039">
      <w:rPr>
        <w:rFonts w:cs="Calibri"/>
        <w:i/>
        <w:color w:val="000000"/>
        <w:sz w:val="18"/>
        <w:szCs w:val="18"/>
      </w:rPr>
      <w:t xml:space="preserve"> of </w:t>
    </w:r>
    <w:r w:rsidR="00273039">
      <w:rPr>
        <w:rFonts w:cs="Calibri"/>
        <w:i/>
        <w:color w:val="000000"/>
        <w:sz w:val="18"/>
        <w:szCs w:val="18"/>
      </w:rPr>
      <w:fldChar w:fldCharType="begin"/>
    </w:r>
    <w:r w:rsidR="00273039">
      <w:rPr>
        <w:rFonts w:cs="Calibri"/>
        <w:i/>
        <w:color w:val="000000"/>
        <w:sz w:val="18"/>
        <w:szCs w:val="18"/>
      </w:rPr>
      <w:instrText>NUMPAGES</w:instrText>
    </w:r>
    <w:r w:rsidR="00273039">
      <w:rPr>
        <w:rFonts w:cs="Calibri"/>
        <w:i/>
        <w:color w:val="000000"/>
        <w:sz w:val="18"/>
        <w:szCs w:val="18"/>
      </w:rPr>
      <w:fldChar w:fldCharType="separate"/>
    </w:r>
    <w:r w:rsidR="00273039">
      <w:rPr>
        <w:rFonts w:cs="Calibri"/>
        <w:i/>
        <w:color w:val="000000"/>
        <w:sz w:val="18"/>
        <w:szCs w:val="18"/>
      </w:rPr>
      <w:t>4</w:t>
    </w:r>
    <w:r w:rsidR="00273039">
      <w:rPr>
        <w:rFonts w:cs="Calibri"/>
        <w:i/>
        <w:color w:val="000000"/>
        <w:sz w:val="18"/>
        <w:szCs w:val="18"/>
      </w:rPr>
      <w:fldChar w:fldCharType="end"/>
    </w:r>
    <w:r w:rsidR="00273039">
      <w:rPr>
        <w:rFonts w:cs="Calibri"/>
        <w:i/>
        <w:color w:val="000000"/>
        <w:sz w:val="18"/>
        <w:szCs w:val="18"/>
      </w:rPr>
      <w:tab/>
    </w:r>
    <w:bookmarkStart w:id="0" w:name="_GoBack"/>
    <w:bookmarkEnd w:id="0"/>
  </w:p>
  <w:p w14:paraId="499AA36A" w14:textId="07B24BBC" w:rsidR="004601E9" w:rsidRPr="00FD7482" w:rsidRDefault="00FD7482" w:rsidP="00FD7482">
    <w:pPr>
      <w:pBdr>
        <w:top w:val="none" w:sz="0" w:space="0" w:color="000000"/>
        <w:left w:val="nil"/>
        <w:bottom w:val="nil"/>
        <w:right w:val="nil"/>
        <w:between w:val="nil"/>
      </w:pBdr>
      <w:tabs>
        <w:tab w:val="center" w:pos="4513"/>
        <w:tab w:val="right" w:pos="9026"/>
      </w:tabs>
      <w:jc w:val="center"/>
      <w:rPr>
        <w:rFonts w:cs="Calibri"/>
        <w:i/>
        <w:color w:val="000000"/>
        <w:sz w:val="16"/>
        <w:szCs w:val="18"/>
      </w:rPr>
    </w:pPr>
    <w:r w:rsidRPr="00FD7482">
      <w:rPr>
        <w:rFonts w:cs="Calibri"/>
        <w:i/>
        <w:color w:val="000000"/>
        <w:sz w:val="16"/>
        <w:szCs w:val="18"/>
      </w:rPr>
      <w:t>This document was prepared for NCAD students.  It may not be reproduced in whole or part without permission from NCAD.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DC1E8" w14:textId="700C9872" w:rsidR="004601E9" w:rsidRDefault="00FD7482">
    <w:pPr>
      <w:pBdr>
        <w:top w:val="single" w:sz="4" w:space="1" w:color="4472C4"/>
        <w:left w:val="nil"/>
        <w:bottom w:val="nil"/>
        <w:right w:val="nil"/>
        <w:between w:val="nil"/>
      </w:pBdr>
      <w:tabs>
        <w:tab w:val="center" w:pos="4513"/>
        <w:tab w:val="right" w:pos="9026"/>
        <w:tab w:val="center" w:pos="4820"/>
        <w:tab w:val="right" w:pos="9638"/>
      </w:tabs>
      <w:rPr>
        <w:rFonts w:cs="Calibri"/>
        <w:i/>
        <w:color w:val="000000"/>
        <w:sz w:val="18"/>
        <w:szCs w:val="18"/>
      </w:rPr>
    </w:pPr>
    <w:r>
      <w:rPr>
        <w:i/>
        <w:sz w:val="18"/>
        <w:szCs w:val="18"/>
      </w:rPr>
      <w:t>VC2-3 Professional Practice: Institutions</w:t>
    </w:r>
    <w:r w:rsidR="00194073">
      <w:rPr>
        <w:rFonts w:cs="Calibri"/>
        <w:i/>
        <w:color w:val="000000"/>
        <w:sz w:val="18"/>
        <w:szCs w:val="18"/>
      </w:rPr>
      <w:tab/>
    </w:r>
    <w:r w:rsidR="00194073">
      <w:rPr>
        <w:rFonts w:cs="Calibri"/>
        <w:i/>
        <w:color w:val="000000"/>
        <w:sz w:val="18"/>
        <w:szCs w:val="18"/>
      </w:rPr>
      <w:tab/>
      <w:t>Module Descriptor</w:t>
    </w:r>
  </w:p>
  <w:p w14:paraId="0905DB54" w14:textId="6B3A9E3A" w:rsidR="00794750" w:rsidRDefault="00A556B7" w:rsidP="00794750">
    <w:pPr>
      <w:pBdr>
        <w:top w:val="none" w:sz="0" w:space="0" w:color="000000"/>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 xml:space="preserve">Published: </w:t>
    </w:r>
    <w:r>
      <w:rPr>
        <w:i/>
        <w:sz w:val="18"/>
        <w:szCs w:val="18"/>
      </w:rPr>
      <w:t>September 2023</w:t>
    </w:r>
    <w:r w:rsidR="00794750">
      <w:rPr>
        <w:i/>
        <w:sz w:val="18"/>
        <w:szCs w:val="18"/>
      </w:rPr>
      <w:tab/>
    </w:r>
    <w:r w:rsidR="00273039">
      <w:rPr>
        <w:rFonts w:cs="Calibri"/>
        <w:i/>
        <w:color w:val="000000"/>
        <w:sz w:val="18"/>
        <w:szCs w:val="18"/>
      </w:rPr>
      <w:t xml:space="preserve">Page </w:t>
    </w:r>
    <w:r w:rsidR="00273039">
      <w:rPr>
        <w:rFonts w:cs="Calibri"/>
        <w:i/>
        <w:color w:val="000000"/>
        <w:sz w:val="18"/>
        <w:szCs w:val="18"/>
      </w:rPr>
      <w:fldChar w:fldCharType="begin"/>
    </w:r>
    <w:r w:rsidR="00273039">
      <w:rPr>
        <w:rFonts w:cs="Calibri"/>
        <w:i/>
        <w:color w:val="000000"/>
        <w:sz w:val="18"/>
        <w:szCs w:val="18"/>
      </w:rPr>
      <w:instrText>PAGE</w:instrText>
    </w:r>
    <w:r w:rsidR="00273039">
      <w:rPr>
        <w:rFonts w:cs="Calibri"/>
        <w:i/>
        <w:color w:val="000000"/>
        <w:sz w:val="18"/>
        <w:szCs w:val="18"/>
      </w:rPr>
      <w:fldChar w:fldCharType="separate"/>
    </w:r>
    <w:r w:rsidR="00273039">
      <w:rPr>
        <w:rFonts w:cs="Calibri"/>
        <w:i/>
        <w:color w:val="000000"/>
        <w:sz w:val="18"/>
        <w:szCs w:val="18"/>
      </w:rPr>
      <w:t>1</w:t>
    </w:r>
    <w:r w:rsidR="00273039">
      <w:rPr>
        <w:rFonts w:cs="Calibri"/>
        <w:i/>
        <w:color w:val="000000"/>
        <w:sz w:val="18"/>
        <w:szCs w:val="18"/>
      </w:rPr>
      <w:fldChar w:fldCharType="end"/>
    </w:r>
    <w:r w:rsidR="00273039">
      <w:rPr>
        <w:rFonts w:cs="Calibri"/>
        <w:i/>
        <w:color w:val="000000"/>
        <w:sz w:val="18"/>
        <w:szCs w:val="18"/>
      </w:rPr>
      <w:t xml:space="preserve"> of </w:t>
    </w:r>
    <w:r w:rsidR="00273039">
      <w:rPr>
        <w:rFonts w:cs="Calibri"/>
        <w:i/>
        <w:color w:val="000000"/>
        <w:sz w:val="18"/>
        <w:szCs w:val="18"/>
      </w:rPr>
      <w:fldChar w:fldCharType="begin"/>
    </w:r>
    <w:r w:rsidR="00273039">
      <w:rPr>
        <w:rFonts w:cs="Calibri"/>
        <w:i/>
        <w:color w:val="000000"/>
        <w:sz w:val="18"/>
        <w:szCs w:val="18"/>
      </w:rPr>
      <w:instrText>NUMPAGES</w:instrText>
    </w:r>
    <w:r w:rsidR="00273039">
      <w:rPr>
        <w:rFonts w:cs="Calibri"/>
        <w:i/>
        <w:color w:val="000000"/>
        <w:sz w:val="18"/>
        <w:szCs w:val="18"/>
      </w:rPr>
      <w:fldChar w:fldCharType="separate"/>
    </w:r>
    <w:r w:rsidR="00273039">
      <w:rPr>
        <w:rFonts w:cs="Calibri"/>
        <w:i/>
        <w:color w:val="000000"/>
        <w:sz w:val="18"/>
        <w:szCs w:val="18"/>
      </w:rPr>
      <w:t>4</w:t>
    </w:r>
    <w:r w:rsidR="00273039">
      <w:rPr>
        <w:rFonts w:cs="Calibri"/>
        <w:i/>
        <w:color w:val="000000"/>
        <w:sz w:val="18"/>
        <w:szCs w:val="18"/>
      </w:rPr>
      <w:fldChar w:fldCharType="end"/>
    </w:r>
    <w:r w:rsidR="00794750">
      <w:rPr>
        <w:rFonts w:cs="Calibri"/>
        <w:i/>
        <w:color w:val="000000"/>
        <w:sz w:val="18"/>
        <w:szCs w:val="18"/>
      </w:rPr>
      <w:tab/>
    </w:r>
  </w:p>
  <w:p w14:paraId="6DEA1A15" w14:textId="77777777" w:rsidR="004601E9" w:rsidRPr="00FD7482" w:rsidRDefault="00194073" w:rsidP="00FD7482">
    <w:pPr>
      <w:pBdr>
        <w:top w:val="none" w:sz="0" w:space="0" w:color="000000"/>
        <w:left w:val="nil"/>
        <w:bottom w:val="nil"/>
        <w:right w:val="nil"/>
        <w:between w:val="nil"/>
      </w:pBdr>
      <w:tabs>
        <w:tab w:val="center" w:pos="4513"/>
        <w:tab w:val="right" w:pos="9026"/>
      </w:tabs>
      <w:jc w:val="center"/>
      <w:rPr>
        <w:rFonts w:cs="Calibri"/>
        <w:i/>
        <w:color w:val="000000"/>
        <w:sz w:val="16"/>
        <w:szCs w:val="18"/>
      </w:rPr>
    </w:pPr>
    <w:r w:rsidRPr="00FD7482">
      <w:rPr>
        <w:rFonts w:cs="Calibri"/>
        <w:i/>
        <w:color w:val="000000"/>
        <w:sz w:val="16"/>
        <w:szCs w:val="18"/>
      </w:rPr>
      <w:t>This document was prepared for NCAD students.  It may not be reproduced in whole or part without permission from NCAD.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1FCE0" w14:textId="77777777" w:rsidR="00F21668" w:rsidRDefault="00F21668">
      <w:r>
        <w:separator/>
      </w:r>
    </w:p>
  </w:footnote>
  <w:footnote w:type="continuationSeparator" w:id="0">
    <w:p w14:paraId="0F1708D8" w14:textId="77777777" w:rsidR="00F21668" w:rsidRDefault="00F21668">
      <w:r>
        <w:continuationSeparator/>
      </w:r>
    </w:p>
  </w:footnote>
  <w:footnote w:id="1">
    <w:p w14:paraId="5FA88D7B" w14:textId="60A3229A" w:rsidR="006E0A07" w:rsidRDefault="006E0A07">
      <w:pPr>
        <w:pStyle w:val="FootnoteText"/>
      </w:pPr>
      <w:r>
        <w:rPr>
          <w:rStyle w:val="FootnoteReference"/>
        </w:rPr>
        <w:footnoteRef/>
      </w:r>
      <w:r>
        <w:t xml:space="preserve"> European Credit Transfer and Accumulation System, where 60 ECTS credits equate to the workload of a full-time academic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94D24" w14:textId="77777777" w:rsidR="004601E9" w:rsidRDefault="00194073">
    <w:pPr>
      <w:pBdr>
        <w:top w:val="nil"/>
        <w:left w:val="nil"/>
        <w:bottom w:val="nil"/>
        <w:right w:val="nil"/>
        <w:between w:val="nil"/>
      </w:pBdr>
      <w:tabs>
        <w:tab w:val="center" w:pos="4513"/>
        <w:tab w:val="right" w:pos="9026"/>
      </w:tabs>
      <w:rPr>
        <w:rFonts w:cs="Calibri"/>
        <w:color w:val="000000"/>
      </w:rPr>
    </w:pPr>
    <w:r>
      <w:rPr>
        <w:rFonts w:cs="Calibri"/>
        <w:noProof/>
        <w:color w:val="000000"/>
        <w:lang w:eastAsia="en-IE"/>
      </w:rPr>
      <w:drawing>
        <wp:inline distT="0" distB="0" distL="0" distR="0" wp14:anchorId="3966696E" wp14:editId="28E76945">
          <wp:extent cx="1088136" cy="45720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88136" cy="4572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4B771" w14:textId="2C95AAB8" w:rsidR="004601E9" w:rsidRDefault="009A7896">
    <w:pPr>
      <w:pBdr>
        <w:top w:val="nil"/>
        <w:left w:val="nil"/>
        <w:bottom w:val="nil"/>
        <w:right w:val="nil"/>
        <w:between w:val="nil"/>
      </w:pBdr>
      <w:tabs>
        <w:tab w:val="center" w:pos="4513"/>
        <w:tab w:val="right" w:pos="9026"/>
      </w:tabs>
      <w:jc w:val="right"/>
      <w:rPr>
        <w:rFonts w:cs="Calibri"/>
        <w:color w:val="000000"/>
      </w:rPr>
    </w:pPr>
    <w:r>
      <w:rPr>
        <w:rFonts w:cs="Calibri"/>
        <w:noProof/>
        <w:color w:val="000000"/>
      </w:rPr>
      <w:drawing>
        <wp:inline distT="0" distB="0" distL="0" distR="0" wp14:anchorId="04C30D0B" wp14:editId="11C02131">
          <wp:extent cx="900000" cy="39526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_NCAD_Logo Pg 1 HEADER.jpg"/>
                  <pic:cNvPicPr/>
                </pic:nvPicPr>
                <pic:blipFill>
                  <a:blip r:embed="rId1">
                    <a:extLst>
                      <a:ext uri="{28A0092B-C50C-407E-A947-70E740481C1C}">
                        <a14:useLocalDpi xmlns:a14="http://schemas.microsoft.com/office/drawing/2010/main" val="0"/>
                      </a:ext>
                    </a:extLst>
                  </a:blip>
                  <a:stretch>
                    <a:fillRect/>
                  </a:stretch>
                </pic:blipFill>
                <pic:spPr>
                  <a:xfrm>
                    <a:off x="0" y="0"/>
                    <a:ext cx="900000" cy="3952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F08E" w14:textId="41BF368E" w:rsidR="004601E9" w:rsidRDefault="009A7896">
    <w:pPr>
      <w:pBdr>
        <w:top w:val="nil"/>
        <w:left w:val="nil"/>
        <w:bottom w:val="nil"/>
        <w:right w:val="nil"/>
        <w:between w:val="nil"/>
      </w:pBdr>
      <w:tabs>
        <w:tab w:val="center" w:pos="4513"/>
        <w:tab w:val="right" w:pos="9026"/>
        <w:tab w:val="right" w:pos="13892"/>
      </w:tabs>
      <w:jc w:val="right"/>
      <w:rPr>
        <w:rFonts w:cs="Calibri"/>
        <w:color w:val="000000"/>
      </w:rPr>
    </w:pPr>
    <w:r>
      <w:rPr>
        <w:rFonts w:cs="Calibri"/>
        <w:noProof/>
        <w:color w:val="000000"/>
      </w:rPr>
      <w:drawing>
        <wp:inline distT="0" distB="0" distL="0" distR="0" wp14:anchorId="5F9CB9A7" wp14:editId="5536E911">
          <wp:extent cx="1080000" cy="474323"/>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_NCAD_Logo Pg 1 HEADER.jpg"/>
                  <pic:cNvPicPr/>
                </pic:nvPicPr>
                <pic:blipFill>
                  <a:blip r:embed="rId1">
                    <a:extLst>
                      <a:ext uri="{28A0092B-C50C-407E-A947-70E740481C1C}">
                        <a14:useLocalDpi xmlns:a14="http://schemas.microsoft.com/office/drawing/2010/main" val="0"/>
                      </a:ext>
                    </a:extLst>
                  </a:blip>
                  <a:stretch>
                    <a:fillRect/>
                  </a:stretch>
                </pic:blipFill>
                <pic:spPr>
                  <a:xfrm>
                    <a:off x="0" y="0"/>
                    <a:ext cx="1080000" cy="4743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811CA"/>
    <w:multiLevelType w:val="hybridMultilevel"/>
    <w:tmpl w:val="7B6EC86A"/>
    <w:lvl w:ilvl="0" w:tplc="20EA20FA">
      <w:start w:val="1"/>
      <w:numFmt w:val="decimal"/>
      <w:pStyle w:val="Heading2"/>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1B07007"/>
    <w:multiLevelType w:val="multilevel"/>
    <w:tmpl w:val="354C1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98660A9"/>
    <w:multiLevelType w:val="multilevel"/>
    <w:tmpl w:val="E9B09864"/>
    <w:lvl w:ilvl="0">
      <w:start w:val="1"/>
      <w:numFmt w:val="decimal"/>
      <w:pStyle w:val="Bullets"/>
      <w:lvlText w:val="%1."/>
      <w:lvlJc w:val="left"/>
      <w:pPr>
        <w:ind w:left="720" w:hanging="360"/>
      </w:pPr>
      <w:rPr>
        <w:rFonts w:ascii="Calibri" w:eastAsia="Calibri" w:hAnsi="Calibri" w:cs="Calibri"/>
        <w:b w:val="0"/>
        <w:i w:val="0"/>
        <w:sz w:val="22"/>
        <w:szCs w:val="2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AC21E19"/>
    <w:multiLevelType w:val="multilevel"/>
    <w:tmpl w:val="BA503390"/>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9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E9"/>
    <w:rsid w:val="000008D6"/>
    <w:rsid w:val="000413DB"/>
    <w:rsid w:val="00041AEB"/>
    <w:rsid w:val="00117659"/>
    <w:rsid w:val="00194073"/>
    <w:rsid w:val="001F0616"/>
    <w:rsid w:val="00273039"/>
    <w:rsid w:val="002E534B"/>
    <w:rsid w:val="00376621"/>
    <w:rsid w:val="00387FAC"/>
    <w:rsid w:val="003A3160"/>
    <w:rsid w:val="004601E9"/>
    <w:rsid w:val="004B5724"/>
    <w:rsid w:val="00536CD1"/>
    <w:rsid w:val="00560D14"/>
    <w:rsid w:val="005C1734"/>
    <w:rsid w:val="005F3FAA"/>
    <w:rsid w:val="006E0A07"/>
    <w:rsid w:val="00794750"/>
    <w:rsid w:val="00910315"/>
    <w:rsid w:val="009A7896"/>
    <w:rsid w:val="009C31DC"/>
    <w:rsid w:val="009D2CD2"/>
    <w:rsid w:val="00A556B7"/>
    <w:rsid w:val="00A66DC9"/>
    <w:rsid w:val="00A84296"/>
    <w:rsid w:val="00AE4C34"/>
    <w:rsid w:val="00BB04A4"/>
    <w:rsid w:val="00C9020C"/>
    <w:rsid w:val="00CB1AA9"/>
    <w:rsid w:val="00EE5CD3"/>
    <w:rsid w:val="00F21668"/>
    <w:rsid w:val="00F520CF"/>
    <w:rsid w:val="00FD74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51B87"/>
  <w15:docId w15:val="{F2FBC274-3234-F244-BFC2-D673D7B8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3A6"/>
    <w:rPr>
      <w:rFonts w:cs="Times New Roman"/>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Spacing"/>
    <w:next w:val="Normal"/>
    <w:link w:val="Heading2Char"/>
    <w:uiPriority w:val="9"/>
    <w:unhideWhenUsed/>
    <w:qFormat/>
    <w:rsid w:val="00273039"/>
    <w:pPr>
      <w:keepNext/>
      <w:keepLines/>
      <w:numPr>
        <w:numId w:val="4"/>
      </w:numPr>
      <w:pBdr>
        <w:bottom w:val="single" w:sz="8" w:space="1" w:color="2E74B5" w:themeColor="accent5" w:themeShade="BF"/>
      </w:pBdr>
      <w:spacing w:before="360" w:after="120"/>
      <w:ind w:left="567" w:hanging="567"/>
      <w:outlineLvl w:val="1"/>
    </w:pPr>
    <w:rPr>
      <w:rFonts w:eastAsiaTheme="majorEastAsia" w:cs="Calibri"/>
      <w:color w:val="2E74B5" w:themeColor="accent5" w:themeShade="BF"/>
      <w:sz w:val="28"/>
      <w:szCs w:val="26"/>
    </w:rPr>
  </w:style>
  <w:style w:type="paragraph" w:styleId="Heading3">
    <w:name w:val="heading 3"/>
    <w:basedOn w:val="Heading4"/>
    <w:next w:val="Normal"/>
    <w:link w:val="Heading3Char"/>
    <w:uiPriority w:val="9"/>
    <w:unhideWhenUsed/>
    <w:qFormat/>
    <w:rsid w:val="009D2CD2"/>
    <w:pPr>
      <w:keepNext/>
      <w:spacing w:before="240" w:after="120"/>
      <w:outlineLvl w:val="2"/>
    </w:pPr>
    <w:rPr>
      <w:sz w:val="24"/>
    </w:rPr>
  </w:style>
  <w:style w:type="paragraph" w:styleId="Heading4">
    <w:name w:val="heading 4"/>
    <w:basedOn w:val="Normal"/>
    <w:next w:val="Normal"/>
    <w:link w:val="Heading4Char"/>
    <w:uiPriority w:val="9"/>
    <w:unhideWhenUsed/>
    <w:qFormat/>
    <w:rsid w:val="005513A6"/>
    <w:pPr>
      <w:outlineLvl w:val="3"/>
    </w:pPr>
    <w:rPr>
      <w:rFonts w:asciiTheme="minorHAnsi" w:hAnsiTheme="minorHAnsi" w:cstheme="minorHAnsi"/>
      <w:b/>
      <w:color w:val="1F4E79" w:themeColor="accent5" w:themeShade="8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273039"/>
    <w:rPr>
      <w:rFonts w:eastAsiaTheme="majorEastAsia"/>
      <w:color w:val="2E74B5" w:themeColor="accent5" w:themeShade="BF"/>
      <w:sz w:val="28"/>
      <w:szCs w:val="26"/>
    </w:rPr>
  </w:style>
  <w:style w:type="character" w:customStyle="1" w:styleId="Heading3Char">
    <w:name w:val="Heading 3 Char"/>
    <w:basedOn w:val="DefaultParagraphFont"/>
    <w:link w:val="Heading3"/>
    <w:uiPriority w:val="9"/>
    <w:rsid w:val="009D2CD2"/>
    <w:rPr>
      <w:rFonts w:asciiTheme="minorHAnsi" w:hAnsiTheme="minorHAnsi" w:cstheme="minorHAnsi"/>
      <w:b/>
      <w:color w:val="1F4E79" w:themeColor="accent5" w:themeShade="80"/>
      <w:sz w:val="24"/>
    </w:rPr>
  </w:style>
  <w:style w:type="character" w:customStyle="1" w:styleId="Heading4Char">
    <w:name w:val="Heading 4 Char"/>
    <w:basedOn w:val="DefaultParagraphFont"/>
    <w:link w:val="Heading4"/>
    <w:uiPriority w:val="9"/>
    <w:rsid w:val="005513A6"/>
    <w:rPr>
      <w:rFonts w:eastAsia="Calibri" w:cstheme="minorHAnsi"/>
      <w:b/>
      <w:color w:val="1F4E79" w:themeColor="accent5" w:themeShade="80"/>
      <w:sz w:val="22"/>
      <w:szCs w:val="22"/>
      <w:lang w:val="en-IE"/>
    </w:rPr>
  </w:style>
  <w:style w:type="paragraph" w:styleId="NoSpacing">
    <w:name w:val="No Spacing"/>
    <w:basedOn w:val="Normal"/>
    <w:uiPriority w:val="99"/>
    <w:qFormat/>
    <w:rsid w:val="005513A6"/>
    <w:rPr>
      <w:sz w:val="20"/>
    </w:rPr>
  </w:style>
  <w:style w:type="paragraph" w:styleId="Header">
    <w:name w:val="header"/>
    <w:basedOn w:val="Normal"/>
    <w:link w:val="HeaderChar"/>
    <w:uiPriority w:val="99"/>
    <w:rsid w:val="005513A6"/>
    <w:pPr>
      <w:tabs>
        <w:tab w:val="center" w:pos="4513"/>
        <w:tab w:val="right" w:pos="9026"/>
      </w:tabs>
    </w:pPr>
  </w:style>
  <w:style w:type="character" w:customStyle="1" w:styleId="HeaderChar">
    <w:name w:val="Header Char"/>
    <w:basedOn w:val="DefaultParagraphFont"/>
    <w:link w:val="Header"/>
    <w:uiPriority w:val="99"/>
    <w:rsid w:val="005513A6"/>
    <w:rPr>
      <w:rFonts w:ascii="Calibri" w:eastAsia="Calibri" w:hAnsi="Calibri" w:cs="Times New Roman"/>
      <w:sz w:val="22"/>
      <w:lang w:val="en-IE"/>
    </w:rPr>
  </w:style>
  <w:style w:type="paragraph" w:styleId="Footer">
    <w:name w:val="footer"/>
    <w:basedOn w:val="Normal"/>
    <w:link w:val="FooterChar"/>
    <w:uiPriority w:val="99"/>
    <w:qFormat/>
    <w:rsid w:val="005513A6"/>
    <w:pPr>
      <w:pBdr>
        <w:top w:val="single" w:sz="4" w:space="1" w:color="auto"/>
      </w:pBdr>
      <w:tabs>
        <w:tab w:val="center" w:pos="4513"/>
        <w:tab w:val="right" w:pos="9026"/>
      </w:tabs>
    </w:pPr>
    <w:rPr>
      <w:i/>
      <w:sz w:val="18"/>
    </w:rPr>
  </w:style>
  <w:style w:type="character" w:customStyle="1" w:styleId="FooterChar">
    <w:name w:val="Footer Char"/>
    <w:basedOn w:val="DefaultParagraphFont"/>
    <w:link w:val="Footer"/>
    <w:uiPriority w:val="99"/>
    <w:rsid w:val="005513A6"/>
    <w:rPr>
      <w:rFonts w:ascii="Calibri" w:eastAsia="Calibri" w:hAnsi="Calibri" w:cs="Times New Roman"/>
      <w:i/>
      <w:sz w:val="18"/>
      <w:lang w:val="en-IE"/>
    </w:rPr>
  </w:style>
  <w:style w:type="character" w:styleId="CommentReference">
    <w:name w:val="annotation reference"/>
    <w:basedOn w:val="DefaultParagraphFont"/>
    <w:uiPriority w:val="99"/>
    <w:semiHidden/>
    <w:unhideWhenUsed/>
    <w:rsid w:val="005513A6"/>
    <w:rPr>
      <w:sz w:val="16"/>
      <w:szCs w:val="16"/>
    </w:rPr>
  </w:style>
  <w:style w:type="paragraph" w:styleId="CommentText">
    <w:name w:val="annotation text"/>
    <w:basedOn w:val="Normal"/>
    <w:link w:val="CommentTextChar"/>
    <w:uiPriority w:val="99"/>
    <w:unhideWhenUsed/>
    <w:rsid w:val="005513A6"/>
    <w:rPr>
      <w:sz w:val="20"/>
      <w:szCs w:val="20"/>
    </w:rPr>
  </w:style>
  <w:style w:type="character" w:customStyle="1" w:styleId="CommentTextChar">
    <w:name w:val="Comment Text Char"/>
    <w:basedOn w:val="DefaultParagraphFont"/>
    <w:link w:val="CommentText"/>
    <w:uiPriority w:val="99"/>
    <w:rsid w:val="005513A6"/>
    <w:rPr>
      <w:rFonts w:ascii="Calibri" w:eastAsia="Calibri" w:hAnsi="Calibri" w:cs="Times New Roman"/>
      <w:sz w:val="20"/>
      <w:szCs w:val="20"/>
      <w:lang w:val="en-IE"/>
    </w:rPr>
  </w:style>
  <w:style w:type="paragraph" w:styleId="ListParagraph">
    <w:name w:val="List Paragraph"/>
    <w:basedOn w:val="Normal"/>
    <w:link w:val="ListParagraphChar"/>
    <w:uiPriority w:val="34"/>
    <w:qFormat/>
    <w:rsid w:val="00041AEB"/>
    <w:pPr>
      <w:spacing w:after="120" w:line="276" w:lineRule="auto"/>
    </w:pPr>
  </w:style>
  <w:style w:type="paragraph" w:styleId="FootnoteText">
    <w:name w:val="footnote text"/>
    <w:basedOn w:val="Normal"/>
    <w:link w:val="FootnoteTextChar"/>
    <w:uiPriority w:val="99"/>
    <w:semiHidden/>
    <w:unhideWhenUsed/>
    <w:rsid w:val="005513A6"/>
    <w:rPr>
      <w:sz w:val="20"/>
      <w:szCs w:val="20"/>
    </w:rPr>
  </w:style>
  <w:style w:type="character" w:customStyle="1" w:styleId="FootnoteTextChar">
    <w:name w:val="Footnote Text Char"/>
    <w:basedOn w:val="DefaultParagraphFont"/>
    <w:link w:val="FootnoteText"/>
    <w:uiPriority w:val="99"/>
    <w:semiHidden/>
    <w:rsid w:val="005513A6"/>
    <w:rPr>
      <w:rFonts w:ascii="Calibri" w:eastAsia="Calibri" w:hAnsi="Calibri" w:cs="Times New Roman"/>
      <w:sz w:val="20"/>
      <w:szCs w:val="20"/>
      <w:lang w:val="en-IE"/>
    </w:rPr>
  </w:style>
  <w:style w:type="character" w:styleId="FootnoteReference">
    <w:name w:val="footnote reference"/>
    <w:basedOn w:val="DefaultParagraphFont"/>
    <w:uiPriority w:val="99"/>
    <w:semiHidden/>
    <w:unhideWhenUsed/>
    <w:rsid w:val="005513A6"/>
    <w:rPr>
      <w:vertAlign w:val="superscript"/>
    </w:rPr>
  </w:style>
  <w:style w:type="paragraph" w:customStyle="1" w:styleId="MediumGrid21">
    <w:name w:val="Medium Grid 21"/>
    <w:semiHidden/>
    <w:qFormat/>
    <w:rsid w:val="005513A6"/>
    <w:rPr>
      <w:rFonts w:ascii="Cambria" w:eastAsia="Times New Roman" w:hAnsi="Cambria" w:cs="Times New Roman"/>
    </w:rPr>
  </w:style>
  <w:style w:type="table" w:styleId="GridTable2-Accent5">
    <w:name w:val="Grid Table 2 Accent 5"/>
    <w:basedOn w:val="TableNormal"/>
    <w:uiPriority w:val="47"/>
    <w:rsid w:val="005513A6"/>
    <w:rPr>
      <w:rFonts w:ascii="Arial" w:hAnsi="Arial" w:cs="Arial"/>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ullets">
    <w:name w:val="Bullets"/>
    <w:basedOn w:val="ListParagraph"/>
    <w:link w:val="BulletsChar"/>
    <w:qFormat/>
    <w:rsid w:val="005513A6"/>
    <w:pPr>
      <w:numPr>
        <w:numId w:val="1"/>
      </w:numPr>
      <w:spacing w:before="120" w:after="0"/>
      <w:ind w:left="714" w:hanging="357"/>
    </w:pPr>
  </w:style>
  <w:style w:type="character" w:customStyle="1" w:styleId="ListParagraphChar">
    <w:name w:val="List Paragraph Char"/>
    <w:basedOn w:val="DefaultParagraphFont"/>
    <w:link w:val="ListParagraph"/>
    <w:uiPriority w:val="34"/>
    <w:rsid w:val="00041AEB"/>
    <w:rPr>
      <w:rFonts w:cs="Times New Roman"/>
    </w:rPr>
  </w:style>
  <w:style w:type="character" w:customStyle="1" w:styleId="BulletsChar">
    <w:name w:val="Bullets Char"/>
    <w:basedOn w:val="ListParagraphChar"/>
    <w:link w:val="Bullets"/>
    <w:rsid w:val="005513A6"/>
    <w:rPr>
      <w:rFonts w:ascii="Calibri" w:eastAsia="Calibri" w:hAnsi="Calibri" w:cs="Times New Roman"/>
      <w:sz w:val="22"/>
      <w:szCs w:val="22"/>
      <w:lang w:val="en-I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4">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5">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6">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character" w:customStyle="1" w:styleId="Heading1Char">
    <w:name w:val="Heading 1 Char"/>
    <w:basedOn w:val="DefaultParagraphFont"/>
    <w:link w:val="Heading1"/>
    <w:uiPriority w:val="9"/>
    <w:rsid w:val="00041AEB"/>
    <w:rPr>
      <w:rFonts w:cs="Times New Roman"/>
      <w:b/>
      <w:sz w:val="48"/>
      <w:szCs w:val="48"/>
    </w:rPr>
  </w:style>
  <w:style w:type="table" w:styleId="GridTable1Light-Accent1">
    <w:name w:val="Grid Table 1 Light Accent 1"/>
    <w:basedOn w:val="TableNormal"/>
    <w:uiPriority w:val="46"/>
    <w:rsid w:val="00041AE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0008D6"/>
    <w:rPr>
      <w:b/>
      <w:bCs/>
    </w:rPr>
  </w:style>
  <w:style w:type="character" w:customStyle="1" w:styleId="CommentSubjectChar">
    <w:name w:val="Comment Subject Char"/>
    <w:basedOn w:val="CommentTextChar"/>
    <w:link w:val="CommentSubject"/>
    <w:uiPriority w:val="99"/>
    <w:semiHidden/>
    <w:rsid w:val="000008D6"/>
    <w:rPr>
      <w:rFonts w:ascii="Calibri" w:eastAsia="Calibri" w:hAnsi="Calibri" w:cs="Times New Roman"/>
      <w:b/>
      <w:bCs/>
      <w:sz w:val="20"/>
      <w:szCs w:val="20"/>
      <w:lang w:val="en-IE"/>
    </w:rPr>
  </w:style>
  <w:style w:type="paragraph" w:styleId="BalloonText">
    <w:name w:val="Balloon Text"/>
    <w:basedOn w:val="Normal"/>
    <w:link w:val="BalloonTextChar"/>
    <w:uiPriority w:val="99"/>
    <w:semiHidden/>
    <w:unhideWhenUsed/>
    <w:rsid w:val="00000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8D6"/>
    <w:rPr>
      <w:rFonts w:ascii="Segoe UI" w:hAnsi="Segoe UI" w:cs="Segoe UI"/>
      <w:sz w:val="18"/>
      <w:szCs w:val="18"/>
    </w:rPr>
  </w:style>
  <w:style w:type="character" w:styleId="Hyperlink">
    <w:name w:val="Hyperlink"/>
    <w:basedOn w:val="DefaultParagraphFont"/>
    <w:uiPriority w:val="99"/>
    <w:unhideWhenUsed/>
    <w:rsid w:val="00F520CF"/>
    <w:rPr>
      <w:color w:val="0563C1" w:themeColor="hyperlink"/>
      <w:u w:val="single"/>
    </w:rPr>
  </w:style>
  <w:style w:type="table" w:styleId="GridTable2-Accent1">
    <w:name w:val="Grid Table 2 Accent 1"/>
    <w:basedOn w:val="TableNormal"/>
    <w:uiPriority w:val="47"/>
    <w:rsid w:val="009D2CD2"/>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ad.ie/files/download/NCAD_Grade_Descriptor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ad.ie/files/download/NCAD_Grade_Descriptors.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NufL5RXEVBSzcWbWuAPqQNRxZA==">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6814</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VC2-3 Professional Practice - Institutions ModDesc</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VC2-3 Professional Practice - Institutions ModDesc</dc:title>
  <dc:subject>VC2-3 Professional Practice - Institutions ModDesc</dc:subject>
  <dc:creator>David Crowley;Kilian O'Callaghan</dc:creator>
  <cp:keywords>2022;Module Descriptor;Visual Culture</cp:keywords>
  <cp:lastModifiedBy>Microsoft Office User</cp:lastModifiedBy>
  <cp:revision>3</cp:revision>
  <cp:lastPrinted>2022-10-25T16:24:00Z</cp:lastPrinted>
  <dcterms:created xsi:type="dcterms:W3CDTF">2023-10-15T12:27:00Z</dcterms:created>
  <dcterms:modified xsi:type="dcterms:W3CDTF">2023-10-15T12:27:00Z</dcterms:modified>
</cp:coreProperties>
</file>