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CED7" w14:textId="2B15FF46" w:rsidR="00C416F9" w:rsidRPr="00B62BEA" w:rsidRDefault="00F7211F" w:rsidP="00B62BEA">
      <w:pPr>
        <w:pStyle w:val="Heading1"/>
        <w:rPr>
          <w:rFonts w:asciiTheme="minorHAnsi" w:hAnsiTheme="minorHAnsi" w:cstheme="minorHAnsi"/>
        </w:rPr>
      </w:pPr>
      <w:r w:rsidRPr="00B62BEA">
        <w:rPr>
          <w:rFonts w:asciiTheme="minorHAnsi" w:hAnsiTheme="minorHAnsi" w:cstheme="minorHAnsi"/>
        </w:rPr>
        <w:t>Histories of Art and Design</w:t>
      </w:r>
      <w:r w:rsidR="00214616">
        <w:rPr>
          <w:rFonts w:asciiTheme="minorHAnsi" w:hAnsiTheme="minorHAnsi" w:cstheme="minorHAnsi"/>
        </w:rPr>
        <w:t xml:space="preserve"> 2</w:t>
      </w:r>
    </w:p>
    <w:p w14:paraId="51F911FA" w14:textId="77777777" w:rsidR="00C416F9" w:rsidRPr="00B62BEA" w:rsidRDefault="00F7211F" w:rsidP="00B62BEA">
      <w:pPr>
        <w:pStyle w:val="Heading1"/>
        <w:rPr>
          <w:rFonts w:asciiTheme="minorHAnsi" w:hAnsiTheme="minorHAnsi" w:cstheme="minorHAnsi"/>
          <w:sz w:val="32"/>
        </w:rPr>
      </w:pPr>
      <w:r w:rsidRPr="00B62BEA">
        <w:rPr>
          <w:rFonts w:asciiTheme="minorHAnsi" w:hAnsiTheme="minorHAnsi" w:cstheme="minorHAnsi"/>
          <w:sz w:val="32"/>
        </w:rPr>
        <w:t>VC2-2</w:t>
      </w:r>
    </w:p>
    <w:p w14:paraId="5B339808" w14:textId="77777777" w:rsidR="00C416F9" w:rsidRPr="00B62BEA" w:rsidRDefault="00C416F9" w:rsidP="00B62BEA">
      <w:pPr>
        <w:rPr>
          <w:rFonts w:asciiTheme="minorHAnsi" w:hAnsiTheme="minorHAnsi" w:cstheme="minorHAnsi"/>
        </w:rPr>
      </w:pPr>
    </w:p>
    <w:p w14:paraId="655C608B" w14:textId="77777777" w:rsidR="00C416F9" w:rsidRPr="00B62BEA" w:rsidRDefault="00F7211F" w:rsidP="00B62BEA">
      <w:pPr>
        <w:pStyle w:val="Heading1"/>
        <w:rPr>
          <w:rFonts w:asciiTheme="minorHAnsi" w:hAnsiTheme="minorHAnsi" w:cstheme="minorHAnsi"/>
        </w:rPr>
      </w:pPr>
      <w:r w:rsidRPr="00B62BEA">
        <w:rPr>
          <w:rFonts w:asciiTheme="minorHAnsi" w:hAnsiTheme="minorHAnsi" w:cstheme="minorHAnsi"/>
        </w:rPr>
        <w:t>MODULE DESCRIPTOR</w:t>
      </w:r>
    </w:p>
    <w:p w14:paraId="23F09515" w14:textId="77777777" w:rsidR="00C416F9" w:rsidRPr="00B62BEA" w:rsidRDefault="00C416F9" w:rsidP="00B62BEA">
      <w:pPr>
        <w:rPr>
          <w:rFonts w:asciiTheme="minorHAnsi" w:hAnsiTheme="minorHAnsi" w:cstheme="minorHAnsi"/>
        </w:rPr>
      </w:pPr>
    </w:p>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21"/>
        <w:gridCol w:w="983"/>
        <w:gridCol w:w="2357"/>
        <w:gridCol w:w="4165"/>
      </w:tblGrid>
      <w:tr w:rsidR="00C416F9" w:rsidRPr="00B62BEA" w14:paraId="53FE6847" w14:textId="77777777">
        <w:tc>
          <w:tcPr>
            <w:cnfStyle w:val="000010000000" w:firstRow="0" w:lastRow="0" w:firstColumn="0" w:lastColumn="0" w:oddVBand="1" w:evenVBand="0" w:oddHBand="0" w:evenHBand="0" w:firstRowFirstColumn="0" w:firstRowLastColumn="0" w:lastRowFirstColumn="0" w:lastRowLastColumn="0"/>
            <w:tcW w:w="1521" w:type="dxa"/>
          </w:tcPr>
          <w:p w14:paraId="5F93FF46" w14:textId="115A6178"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ECTS credits</w:t>
            </w:r>
          </w:p>
        </w:tc>
        <w:tc>
          <w:tcPr>
            <w:tcW w:w="983" w:type="dxa"/>
          </w:tcPr>
          <w:p w14:paraId="4BB5068E" w14:textId="77777777"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10</w:t>
            </w:r>
          </w:p>
        </w:tc>
        <w:tc>
          <w:tcPr>
            <w:cnfStyle w:val="000010000000" w:firstRow="0" w:lastRow="0" w:firstColumn="0" w:lastColumn="0" w:oddVBand="1" w:evenVBand="0" w:oddHBand="0" w:evenHBand="0" w:firstRowFirstColumn="0" w:firstRowLastColumn="0" w:lastRowFirstColumn="0" w:lastRowLastColumn="0"/>
            <w:tcW w:w="2357" w:type="dxa"/>
          </w:tcPr>
          <w:p w14:paraId="7AC96587"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Programme</w:t>
            </w:r>
          </w:p>
        </w:tc>
        <w:tc>
          <w:tcPr>
            <w:tcW w:w="4165" w:type="dxa"/>
          </w:tcPr>
          <w:p w14:paraId="1B48D41F" w14:textId="15293861"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BA Visual Culture</w:t>
            </w:r>
          </w:p>
        </w:tc>
      </w:tr>
      <w:tr w:rsidR="00C416F9" w:rsidRPr="00B62BEA" w14:paraId="7EECDBA4" w14:textId="77777777">
        <w:tc>
          <w:tcPr>
            <w:cnfStyle w:val="000010000000" w:firstRow="0" w:lastRow="0" w:firstColumn="0" w:lastColumn="0" w:oddVBand="1" w:evenVBand="0" w:oddHBand="0" w:evenHBand="0" w:firstRowFirstColumn="0" w:firstRowLastColumn="0" w:lastRowFirstColumn="0" w:lastRowLastColumn="0"/>
            <w:tcW w:w="1521" w:type="dxa"/>
          </w:tcPr>
          <w:p w14:paraId="61F33C6A"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NQF level</w:t>
            </w:r>
          </w:p>
        </w:tc>
        <w:tc>
          <w:tcPr>
            <w:tcW w:w="983" w:type="dxa"/>
          </w:tcPr>
          <w:p w14:paraId="4B61996E" w14:textId="77777777"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8</w:t>
            </w:r>
          </w:p>
        </w:tc>
        <w:tc>
          <w:tcPr>
            <w:cnfStyle w:val="000010000000" w:firstRow="0" w:lastRow="0" w:firstColumn="0" w:lastColumn="0" w:oddVBand="1" w:evenVBand="0" w:oddHBand="0" w:evenHBand="0" w:firstRowFirstColumn="0" w:firstRowLastColumn="0" w:lastRowFirstColumn="0" w:lastRowLastColumn="0"/>
            <w:tcW w:w="2357" w:type="dxa"/>
          </w:tcPr>
          <w:p w14:paraId="7A47F284"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School</w:t>
            </w:r>
          </w:p>
        </w:tc>
        <w:tc>
          <w:tcPr>
            <w:tcW w:w="4165" w:type="dxa"/>
          </w:tcPr>
          <w:p w14:paraId="352F9ED3" w14:textId="77777777"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School of Visual Culture</w:t>
            </w:r>
          </w:p>
        </w:tc>
      </w:tr>
      <w:tr w:rsidR="00C416F9" w:rsidRPr="00B62BEA" w14:paraId="4A8648F3" w14:textId="77777777">
        <w:tc>
          <w:tcPr>
            <w:cnfStyle w:val="000010000000" w:firstRow="0" w:lastRow="0" w:firstColumn="0" w:lastColumn="0" w:oddVBand="1" w:evenVBand="0" w:oddHBand="0" w:evenHBand="0" w:firstRowFirstColumn="0" w:firstRowLastColumn="0" w:lastRowFirstColumn="0" w:lastRowLastColumn="0"/>
            <w:tcW w:w="1521" w:type="dxa"/>
          </w:tcPr>
          <w:p w14:paraId="5FB31E5C"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Stage</w:t>
            </w:r>
          </w:p>
        </w:tc>
        <w:tc>
          <w:tcPr>
            <w:tcW w:w="983" w:type="dxa"/>
          </w:tcPr>
          <w:p w14:paraId="75A08BF5" w14:textId="77777777"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2357" w:type="dxa"/>
          </w:tcPr>
          <w:p w14:paraId="2B261C5C"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Module Co-ordinator</w:t>
            </w:r>
          </w:p>
        </w:tc>
        <w:tc>
          <w:tcPr>
            <w:tcW w:w="4165" w:type="dxa"/>
          </w:tcPr>
          <w:p w14:paraId="701AADB1" w14:textId="7F5CF44F" w:rsidR="00C416F9" w:rsidRPr="00B62BEA" w:rsidRDefault="00123044"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r w:rsidR="00F7211F" w:rsidRPr="00B62BEA">
              <w:rPr>
                <w:rFonts w:asciiTheme="minorHAnsi" w:hAnsiTheme="minorHAnsi" w:cstheme="minorHAnsi"/>
              </w:rPr>
              <w:t>Francis Halsall</w:t>
            </w:r>
          </w:p>
        </w:tc>
      </w:tr>
      <w:tr w:rsidR="00C416F9" w:rsidRPr="00B62BEA" w14:paraId="21981F55" w14:textId="77777777">
        <w:tc>
          <w:tcPr>
            <w:cnfStyle w:val="000010000000" w:firstRow="0" w:lastRow="0" w:firstColumn="0" w:lastColumn="0" w:oddVBand="1" w:evenVBand="0" w:oddHBand="0" w:evenHBand="0" w:firstRowFirstColumn="0" w:firstRowLastColumn="0" w:lastRowFirstColumn="0" w:lastRowLastColumn="0"/>
            <w:tcW w:w="1521" w:type="dxa"/>
          </w:tcPr>
          <w:p w14:paraId="1CA9709D"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Trimester</w:t>
            </w:r>
          </w:p>
        </w:tc>
        <w:tc>
          <w:tcPr>
            <w:tcW w:w="983" w:type="dxa"/>
          </w:tcPr>
          <w:p w14:paraId="2B5204D0" w14:textId="77777777"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2357" w:type="dxa"/>
          </w:tcPr>
          <w:p w14:paraId="048F67DF"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Module Team</w:t>
            </w:r>
          </w:p>
        </w:tc>
        <w:tc>
          <w:tcPr>
            <w:tcW w:w="4165" w:type="dxa"/>
          </w:tcPr>
          <w:p w14:paraId="0C90945B" w14:textId="2D5286B8"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 xml:space="preserve">Fiona </w:t>
            </w:r>
            <w:proofErr w:type="spellStart"/>
            <w:r w:rsidRPr="00B62BEA">
              <w:rPr>
                <w:rFonts w:asciiTheme="minorHAnsi" w:hAnsiTheme="minorHAnsi" w:cstheme="minorHAnsi"/>
              </w:rPr>
              <w:t>Loughnane</w:t>
            </w:r>
            <w:proofErr w:type="spellEnd"/>
            <w:r w:rsidRPr="00B62BEA">
              <w:rPr>
                <w:rFonts w:asciiTheme="minorHAnsi" w:hAnsiTheme="minorHAnsi" w:cstheme="minorHAnsi"/>
              </w:rPr>
              <w:t xml:space="preserve">, Hilary O’Kelly, David Crowley, </w:t>
            </w:r>
            <w:r w:rsidR="00123044">
              <w:rPr>
                <w:rFonts w:asciiTheme="minorHAnsi" w:hAnsiTheme="minorHAnsi" w:cstheme="minorHAnsi"/>
              </w:rPr>
              <w:t xml:space="preserve">Dr </w:t>
            </w:r>
            <w:r w:rsidRPr="00B62BEA">
              <w:rPr>
                <w:rFonts w:asciiTheme="minorHAnsi" w:hAnsiTheme="minorHAnsi" w:cstheme="minorHAnsi"/>
              </w:rPr>
              <w:t>Francis Halsall and others</w:t>
            </w:r>
          </w:p>
        </w:tc>
      </w:tr>
      <w:tr w:rsidR="00C416F9" w:rsidRPr="00B62BEA" w14:paraId="70DFD540" w14:textId="77777777">
        <w:tc>
          <w:tcPr>
            <w:cnfStyle w:val="000010000000" w:firstRow="0" w:lastRow="0" w:firstColumn="0" w:lastColumn="0" w:oddVBand="1" w:evenVBand="0" w:oddHBand="0" w:evenHBand="0" w:firstRowFirstColumn="0" w:firstRowLastColumn="0" w:lastRowFirstColumn="0" w:lastRowLastColumn="0"/>
            <w:tcW w:w="1521" w:type="dxa"/>
          </w:tcPr>
          <w:p w14:paraId="63F6C32A"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Contact</w:t>
            </w:r>
          </w:p>
        </w:tc>
        <w:tc>
          <w:tcPr>
            <w:tcW w:w="7505" w:type="dxa"/>
            <w:gridSpan w:val="3"/>
          </w:tcPr>
          <w:p w14:paraId="0CAA0072" w14:textId="77777777"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Neasa Travers, Secretary School of Visual Culture: visualculture@staff.ncad.ie</w:t>
            </w:r>
          </w:p>
        </w:tc>
      </w:tr>
      <w:tr w:rsidR="00C416F9" w:rsidRPr="00B62BEA" w14:paraId="439CD961" w14:textId="77777777">
        <w:tc>
          <w:tcPr>
            <w:cnfStyle w:val="000010000000" w:firstRow="0" w:lastRow="0" w:firstColumn="0" w:lastColumn="0" w:oddVBand="1" w:evenVBand="0" w:oddHBand="0" w:evenHBand="0" w:firstRowFirstColumn="0" w:firstRowLastColumn="0" w:lastRowFirstColumn="0" w:lastRowLastColumn="0"/>
            <w:tcW w:w="1521" w:type="dxa"/>
          </w:tcPr>
          <w:p w14:paraId="5604EF29" w14:textId="77777777" w:rsidR="00C416F9" w:rsidRPr="00B62BEA" w:rsidRDefault="00F7211F" w:rsidP="00B62BEA">
            <w:pPr>
              <w:rPr>
                <w:rFonts w:asciiTheme="minorHAnsi" w:hAnsiTheme="minorHAnsi" w:cstheme="minorHAnsi"/>
                <w:b/>
                <w:color w:val="1F4E79" w:themeColor="accent5" w:themeShade="80"/>
              </w:rPr>
            </w:pPr>
            <w:r w:rsidRPr="00B62BEA">
              <w:rPr>
                <w:rFonts w:asciiTheme="minorHAnsi" w:hAnsiTheme="minorHAnsi" w:cstheme="minorHAnsi"/>
                <w:b/>
                <w:color w:val="1F4E79" w:themeColor="accent5" w:themeShade="80"/>
              </w:rPr>
              <w:t>Responsibility</w:t>
            </w:r>
          </w:p>
        </w:tc>
        <w:tc>
          <w:tcPr>
            <w:tcW w:w="7505" w:type="dxa"/>
            <w:gridSpan w:val="3"/>
          </w:tcPr>
          <w:p w14:paraId="1657DBED" w14:textId="0272FA85" w:rsidR="00C416F9" w:rsidRPr="00B62BEA" w:rsidRDefault="00F7211F" w:rsidP="00B62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62BEA">
              <w:rPr>
                <w:rFonts w:asciiTheme="minorHAnsi" w:hAnsiTheme="minorHAnsi" w:cstheme="minorHAnsi"/>
              </w:rPr>
              <w:t xml:space="preserve">NCAD Academic Council </w:t>
            </w:r>
            <w:r w:rsidR="00B62BEA">
              <w:rPr>
                <w:rFonts w:asciiTheme="minorHAnsi" w:hAnsiTheme="minorHAnsi" w:cstheme="minorHAnsi"/>
              </w:rPr>
              <w:t>and the</w:t>
            </w:r>
            <w:r w:rsidRPr="00B62BEA">
              <w:rPr>
                <w:rFonts w:asciiTheme="minorHAnsi" w:hAnsiTheme="minorHAnsi" w:cstheme="minorHAnsi"/>
              </w:rPr>
              <w:t xml:space="preserve"> School of Visual Culture</w:t>
            </w:r>
            <w:r w:rsidR="00B62BEA">
              <w:rPr>
                <w:rFonts w:asciiTheme="minorHAnsi" w:hAnsiTheme="minorHAnsi" w:cstheme="minorHAnsi"/>
              </w:rPr>
              <w:t xml:space="preserve"> Board are responsible for this module.</w:t>
            </w:r>
          </w:p>
        </w:tc>
      </w:tr>
    </w:tbl>
    <w:p w14:paraId="42679000" w14:textId="77777777" w:rsidR="00E52817" w:rsidRPr="00A23C8A" w:rsidRDefault="00E52817" w:rsidP="00A23C8A">
      <w:pPr>
        <w:pStyle w:val="Heading2"/>
      </w:pPr>
      <w:r w:rsidRPr="00A23C8A">
        <w:t>Introduction</w:t>
      </w:r>
    </w:p>
    <w:p w14:paraId="608B44D1" w14:textId="358CDB09" w:rsidR="00E52817" w:rsidRPr="00A23C8A" w:rsidRDefault="00E52817" w:rsidP="00A23C8A">
      <w:pPr>
        <w:pStyle w:val="ListParagraph"/>
      </w:pPr>
      <w:r w:rsidRPr="00A23C8A">
        <w:t xml:space="preserve">This module develops and extends students’ knowledge of the phenomenon of modernism in different fields of art and design through the close examination of different cultural phenomena. </w:t>
      </w:r>
      <w:r w:rsidR="00A23C8A">
        <w:t xml:space="preserve"> </w:t>
      </w:r>
      <w:r w:rsidRPr="00A23C8A">
        <w:t xml:space="preserve">It will also provide a framework for the analysis of different interpretative frameworks for understanding modernism </w:t>
      </w:r>
      <w:r w:rsidR="00A23C8A">
        <w:t>and</w:t>
      </w:r>
      <w:r w:rsidRPr="00A23C8A">
        <w:t xml:space="preserve"> modernity.  In approaching modernism through a variety of frameworks and perspectives</w:t>
      </w:r>
      <w:r w:rsidR="00A23C8A">
        <w:t xml:space="preserve"> - </w:t>
      </w:r>
      <w:r w:rsidRPr="00A23C8A">
        <w:t>including formal analysis; influence; cultural and historical significance; relationship to social, historical and cultural contexts; contemporary relevance</w:t>
      </w:r>
      <w:r w:rsidR="00A23C8A">
        <w:t xml:space="preserve"> - </w:t>
      </w:r>
      <w:r w:rsidRPr="00A23C8A">
        <w:t xml:space="preserve">the module sets out to explore the complexity and even contradictory claims made for the phenomenon of modernism.  It follows on from a </w:t>
      </w:r>
      <w:r w:rsidR="00A23C8A" w:rsidRPr="00A23C8A">
        <w:t>first-year</w:t>
      </w:r>
      <w:r w:rsidRPr="00A23C8A">
        <w:t xml:space="preserve"> module in which the broad historical category of modernity is put under scrutiny (VC1-5).</w:t>
      </w:r>
      <w:r w:rsidR="00A23C8A">
        <w:t xml:space="preserve"> </w:t>
      </w:r>
      <w:r w:rsidRPr="00A23C8A">
        <w:t xml:space="preserve"> In this way students will be developing greater understanding of historiography.</w:t>
      </w:r>
    </w:p>
    <w:p w14:paraId="59DBFB43" w14:textId="6F029303" w:rsidR="00E52817" w:rsidRPr="00A23C8A" w:rsidRDefault="00E52817" w:rsidP="00A23C8A">
      <w:pPr>
        <w:pStyle w:val="ListParagraph"/>
      </w:pPr>
      <w:r w:rsidRPr="00A23C8A">
        <w:t>The class takes the form of a lecture followed by a seminar in which various kinds of historical evidence will be examined (film, textual documents, etc.) each week.</w:t>
      </w:r>
    </w:p>
    <w:p w14:paraId="15D8BFA4" w14:textId="705309D4" w:rsidR="00E52817" w:rsidRPr="00A23C8A" w:rsidRDefault="00E52817" w:rsidP="00A23C8A">
      <w:pPr>
        <w:pStyle w:val="ListParagraph"/>
      </w:pPr>
      <w:r w:rsidRPr="00A23C8A">
        <w:t>The aims of this module are</w:t>
      </w:r>
      <w:r w:rsidR="00A23C8A">
        <w:t xml:space="preserve"> to</w:t>
      </w:r>
      <w:r w:rsidRPr="00A23C8A">
        <w:t>:</w:t>
      </w:r>
    </w:p>
    <w:p w14:paraId="373CB4D8" w14:textId="71BAEEF0" w:rsidR="00E52817" w:rsidRPr="00A23C8A" w:rsidRDefault="00A23C8A" w:rsidP="00A23C8A">
      <w:pPr>
        <w:pStyle w:val="Numbers"/>
        <w:numPr>
          <w:ilvl w:val="0"/>
          <w:numId w:val="2"/>
        </w:numPr>
        <w:ind w:left="714" w:hanging="357"/>
      </w:pPr>
      <w:r>
        <w:t>I</w:t>
      </w:r>
      <w:r w:rsidR="00E52817" w:rsidRPr="00A23C8A">
        <w:t>ntroduce students to key examples that exemplify and define Modernism;</w:t>
      </w:r>
    </w:p>
    <w:p w14:paraId="2EF29A23" w14:textId="1ED11540" w:rsidR="00E52817" w:rsidRPr="00A23C8A" w:rsidRDefault="00A23C8A" w:rsidP="00A23C8A">
      <w:pPr>
        <w:pStyle w:val="Numbers"/>
        <w:numPr>
          <w:ilvl w:val="0"/>
          <w:numId w:val="2"/>
        </w:numPr>
        <w:ind w:left="714" w:hanging="357"/>
      </w:pPr>
      <w:r>
        <w:t>H</w:t>
      </w:r>
      <w:r w:rsidR="00E52817" w:rsidRPr="00A23C8A">
        <w:t>elp students develop their own analytic skills in identifying, encountering and describing objects of art and design;</w:t>
      </w:r>
    </w:p>
    <w:p w14:paraId="2C0FF820" w14:textId="65AEDC84" w:rsidR="00E52817" w:rsidRPr="00A23C8A" w:rsidRDefault="00A23C8A" w:rsidP="00A23C8A">
      <w:pPr>
        <w:pStyle w:val="Numbers"/>
        <w:numPr>
          <w:ilvl w:val="0"/>
          <w:numId w:val="2"/>
        </w:numPr>
        <w:ind w:left="714" w:hanging="357"/>
      </w:pPr>
      <w:r>
        <w:t>D</w:t>
      </w:r>
      <w:r w:rsidR="00E52817" w:rsidRPr="00A23C8A">
        <w:t>emonstrate that histories of art and design are partial and often driven by partisan enthusiasms</w:t>
      </w:r>
      <w:r>
        <w:t>.</w:t>
      </w:r>
    </w:p>
    <w:p w14:paraId="6A714E91" w14:textId="77777777" w:rsidR="00E52817" w:rsidRPr="00B62BEA" w:rsidRDefault="00E52817" w:rsidP="00A23C8A">
      <w:pPr>
        <w:pStyle w:val="Heading2"/>
        <w:rPr>
          <w:rFonts w:eastAsia="Calibri"/>
        </w:rPr>
      </w:pPr>
      <w:r w:rsidRPr="00B62BEA">
        <w:t>What will I learn?</w:t>
      </w:r>
    </w:p>
    <w:p w14:paraId="17DFF9CE" w14:textId="77777777" w:rsidR="00E52817" w:rsidRPr="00B62BEA" w:rsidRDefault="00E52817" w:rsidP="00A23C8A">
      <w:pPr>
        <w:pStyle w:val="ListParagraph"/>
      </w:pPr>
      <w:r w:rsidRPr="00B62BEA">
        <w:t>On successful completion of this module students will be able to:</w:t>
      </w:r>
    </w:p>
    <w:p w14:paraId="067F013F" w14:textId="77777777" w:rsidR="00E52817" w:rsidRPr="00B62BEA" w:rsidRDefault="00E52817" w:rsidP="00A23C8A">
      <w:pPr>
        <w:pStyle w:val="Numbers"/>
        <w:numPr>
          <w:ilvl w:val="0"/>
          <w:numId w:val="5"/>
        </w:numPr>
        <w:ind w:left="709"/>
      </w:pPr>
      <w:r w:rsidRPr="00B62BEA">
        <w:t>RESEARCH key concepts, theories and methodologies that have informed art and design in the 20th and 21st century, including paradigmatic examples relevant to thinking and writing about modern and contemporary art and design practices.</w:t>
      </w:r>
    </w:p>
    <w:p w14:paraId="515F8436" w14:textId="51AFBD00" w:rsidR="00E52817" w:rsidRPr="00B62BEA" w:rsidRDefault="00E52817" w:rsidP="00A23C8A">
      <w:pPr>
        <w:pStyle w:val="Numbers"/>
        <w:numPr>
          <w:ilvl w:val="0"/>
          <w:numId w:val="5"/>
        </w:numPr>
        <w:ind w:left="709"/>
      </w:pPr>
      <w:r w:rsidRPr="00B62BEA">
        <w:lastRenderedPageBreak/>
        <w:t>ANALYSE</w:t>
      </w:r>
      <w:r w:rsidR="00A23C8A">
        <w:t>:</w:t>
      </w:r>
      <w:r w:rsidRPr="00B62BEA">
        <w:t xml:space="preserve"> Apply their own analytic skills to describe and examine modernist objects of art and design and contest, where appropriate, perspectives and interpretations other scholars in a reasoned manner</w:t>
      </w:r>
    </w:p>
    <w:p w14:paraId="585FD98B" w14:textId="536F9B56" w:rsidR="00E52817" w:rsidRPr="00B62BEA" w:rsidRDefault="00E52817" w:rsidP="00A23C8A">
      <w:pPr>
        <w:pStyle w:val="Numbers"/>
        <w:numPr>
          <w:ilvl w:val="0"/>
          <w:numId w:val="5"/>
        </w:numPr>
        <w:ind w:left="709"/>
      </w:pPr>
      <w:r w:rsidRPr="00B62BEA">
        <w:t>COMMUNICATE</w:t>
      </w:r>
      <w:r w:rsidR="00A23C8A">
        <w:t>:</w:t>
      </w:r>
      <w:r w:rsidRPr="00B62BEA">
        <w:t xml:space="preserve"> Successfully show how a work of art or design can be understood through a number of frameworks.</w:t>
      </w:r>
    </w:p>
    <w:p w14:paraId="0406DBB4" w14:textId="77777777" w:rsidR="00B62BEA" w:rsidRPr="00B62BEA" w:rsidRDefault="00B62BEA" w:rsidP="00A23C8A">
      <w:pPr>
        <w:pStyle w:val="Heading2"/>
        <w:rPr>
          <w:rFonts w:eastAsia="Calibri"/>
          <w:u w:val="single"/>
        </w:rPr>
      </w:pPr>
      <w:r w:rsidRPr="00B62BEA">
        <w:t>How will I learn?</w:t>
      </w:r>
    </w:p>
    <w:p w14:paraId="12A3E789" w14:textId="20B6D2B9" w:rsidR="00B62BEA" w:rsidRPr="00B62BEA" w:rsidRDefault="00B62BEA" w:rsidP="00A23C8A">
      <w:pPr>
        <w:pStyle w:val="ListParagraph"/>
      </w:pPr>
      <w:r w:rsidRPr="00B62BEA">
        <w:t xml:space="preserve">Classes will take the form of lectures and seminars. </w:t>
      </w:r>
      <w:r w:rsidR="00A23C8A">
        <w:t xml:space="preserve"> </w:t>
      </w:r>
      <w:r w:rsidRPr="00B62BEA">
        <w:t>Students will prepare for class by reading key texts.</w:t>
      </w:r>
    </w:p>
    <w:tbl>
      <w:tblPr>
        <w:tblStyle w:val="GridTable2-Accent1"/>
        <w:tblW w:w="4820" w:type="dxa"/>
        <w:tblLayout w:type="fixed"/>
        <w:tblLook w:val="0660" w:firstRow="1" w:lastRow="1" w:firstColumn="0" w:lastColumn="0" w:noHBand="1" w:noVBand="1"/>
      </w:tblPr>
      <w:tblGrid>
        <w:gridCol w:w="3402"/>
        <w:gridCol w:w="1418"/>
      </w:tblGrid>
      <w:tr w:rsidR="00C416F9" w:rsidRPr="00A23C8A" w14:paraId="1743D97F" w14:textId="77777777" w:rsidTr="00A23C8A">
        <w:trPr>
          <w:cnfStyle w:val="100000000000" w:firstRow="1" w:lastRow="0" w:firstColumn="0" w:lastColumn="0" w:oddVBand="0" w:evenVBand="0" w:oddHBand="0" w:evenHBand="0" w:firstRowFirstColumn="0" w:firstRowLastColumn="0" w:lastRowFirstColumn="0" w:lastRowLastColumn="0"/>
          <w:trHeight w:val="340"/>
        </w:trPr>
        <w:tc>
          <w:tcPr>
            <w:tcW w:w="3402" w:type="dxa"/>
          </w:tcPr>
          <w:p w14:paraId="2AAB9129" w14:textId="77777777" w:rsidR="00C416F9" w:rsidRPr="00A23C8A" w:rsidRDefault="00F7211F">
            <w:pPr>
              <w:ind w:left="142"/>
              <w:rPr>
                <w:rFonts w:asciiTheme="minorHAnsi" w:hAnsiTheme="minorHAnsi" w:cstheme="minorHAnsi"/>
                <w:color w:val="000000"/>
                <w:szCs w:val="20"/>
              </w:rPr>
            </w:pPr>
            <w:r w:rsidRPr="00A23C8A">
              <w:rPr>
                <w:rFonts w:asciiTheme="minorHAnsi" w:hAnsiTheme="minorHAnsi" w:cstheme="minorHAnsi"/>
                <w:color w:val="000000"/>
                <w:szCs w:val="20"/>
              </w:rPr>
              <w:t>Learning tool</w:t>
            </w:r>
          </w:p>
        </w:tc>
        <w:tc>
          <w:tcPr>
            <w:tcW w:w="1418" w:type="dxa"/>
          </w:tcPr>
          <w:p w14:paraId="12EC88AC" w14:textId="77777777" w:rsidR="00C416F9" w:rsidRPr="00A23C8A" w:rsidRDefault="00F7211F">
            <w:pPr>
              <w:pBdr>
                <w:top w:val="nil"/>
                <w:left w:val="nil"/>
                <w:bottom w:val="nil"/>
                <w:right w:val="nil"/>
                <w:between w:val="nil"/>
              </w:pBdr>
              <w:ind w:left="142"/>
              <w:rPr>
                <w:rFonts w:asciiTheme="minorHAnsi" w:hAnsiTheme="minorHAnsi" w:cstheme="minorHAnsi"/>
                <w:color w:val="000000"/>
                <w:szCs w:val="20"/>
              </w:rPr>
            </w:pPr>
            <w:r w:rsidRPr="00A23C8A">
              <w:rPr>
                <w:rFonts w:asciiTheme="minorHAnsi" w:hAnsiTheme="minorHAnsi" w:cstheme="minorHAnsi"/>
                <w:color w:val="000000"/>
                <w:szCs w:val="20"/>
              </w:rPr>
              <w:t>Hours</w:t>
            </w:r>
          </w:p>
        </w:tc>
      </w:tr>
      <w:tr w:rsidR="00C416F9" w:rsidRPr="00A23C8A" w14:paraId="241B6E7F" w14:textId="77777777" w:rsidTr="00A23C8A">
        <w:trPr>
          <w:trHeight w:val="340"/>
        </w:trPr>
        <w:tc>
          <w:tcPr>
            <w:tcW w:w="3402" w:type="dxa"/>
          </w:tcPr>
          <w:p w14:paraId="20FB9AA8" w14:textId="77777777" w:rsidR="00C416F9" w:rsidRPr="00A23C8A" w:rsidRDefault="00F7211F">
            <w:pPr>
              <w:ind w:left="142"/>
              <w:rPr>
                <w:rFonts w:asciiTheme="minorHAnsi" w:hAnsiTheme="minorHAnsi" w:cstheme="minorHAnsi"/>
                <w:color w:val="000000"/>
                <w:szCs w:val="20"/>
              </w:rPr>
            </w:pPr>
            <w:r w:rsidRPr="00A23C8A">
              <w:rPr>
                <w:rFonts w:asciiTheme="minorHAnsi" w:hAnsiTheme="minorHAnsi" w:cstheme="minorHAnsi"/>
                <w:color w:val="000000"/>
                <w:szCs w:val="20"/>
              </w:rPr>
              <w:t>Lectures / seminars</w:t>
            </w:r>
          </w:p>
        </w:tc>
        <w:tc>
          <w:tcPr>
            <w:tcW w:w="1418" w:type="dxa"/>
          </w:tcPr>
          <w:p w14:paraId="6F68D760" w14:textId="1A77C41A" w:rsidR="00C416F9" w:rsidRPr="00A23C8A" w:rsidRDefault="00E41D21">
            <w:pPr>
              <w:pBdr>
                <w:top w:val="nil"/>
                <w:left w:val="nil"/>
                <w:bottom w:val="nil"/>
                <w:right w:val="nil"/>
                <w:between w:val="nil"/>
              </w:pBdr>
              <w:ind w:left="142"/>
              <w:rPr>
                <w:rFonts w:asciiTheme="minorHAnsi" w:hAnsiTheme="minorHAnsi" w:cstheme="minorHAnsi"/>
                <w:color w:val="000000"/>
                <w:szCs w:val="20"/>
              </w:rPr>
            </w:pPr>
            <w:r>
              <w:rPr>
                <w:rFonts w:asciiTheme="minorHAnsi" w:hAnsiTheme="minorHAnsi" w:cstheme="minorHAnsi"/>
                <w:szCs w:val="20"/>
              </w:rPr>
              <w:t>33</w:t>
            </w:r>
          </w:p>
        </w:tc>
      </w:tr>
      <w:tr w:rsidR="00C416F9" w:rsidRPr="00A23C8A" w14:paraId="1FF791B5" w14:textId="77777777" w:rsidTr="00A23C8A">
        <w:trPr>
          <w:trHeight w:val="340"/>
        </w:trPr>
        <w:tc>
          <w:tcPr>
            <w:tcW w:w="3402" w:type="dxa"/>
          </w:tcPr>
          <w:p w14:paraId="4B6AB1E9" w14:textId="77777777" w:rsidR="00C416F9" w:rsidRPr="00A23C8A" w:rsidRDefault="00F7211F">
            <w:pPr>
              <w:ind w:left="142"/>
              <w:rPr>
                <w:rFonts w:asciiTheme="minorHAnsi" w:hAnsiTheme="minorHAnsi" w:cstheme="minorHAnsi"/>
                <w:color w:val="000000"/>
                <w:szCs w:val="20"/>
              </w:rPr>
            </w:pPr>
            <w:r w:rsidRPr="00A23C8A">
              <w:rPr>
                <w:rFonts w:asciiTheme="minorHAnsi" w:hAnsiTheme="minorHAnsi" w:cstheme="minorHAnsi"/>
                <w:color w:val="000000"/>
                <w:szCs w:val="20"/>
              </w:rPr>
              <w:t>Specified Learning Activities</w:t>
            </w:r>
          </w:p>
        </w:tc>
        <w:tc>
          <w:tcPr>
            <w:tcW w:w="1418" w:type="dxa"/>
          </w:tcPr>
          <w:p w14:paraId="57382530" w14:textId="05920845" w:rsidR="00C416F9" w:rsidRPr="00A23C8A" w:rsidRDefault="00E41D21">
            <w:pPr>
              <w:ind w:left="142"/>
              <w:rPr>
                <w:rFonts w:asciiTheme="minorHAnsi" w:hAnsiTheme="minorHAnsi" w:cstheme="minorHAnsi"/>
                <w:color w:val="000000"/>
                <w:szCs w:val="20"/>
              </w:rPr>
            </w:pPr>
            <w:r>
              <w:rPr>
                <w:rFonts w:asciiTheme="minorHAnsi" w:hAnsiTheme="minorHAnsi" w:cstheme="minorHAnsi"/>
                <w:szCs w:val="20"/>
              </w:rPr>
              <w:t>33</w:t>
            </w:r>
          </w:p>
        </w:tc>
      </w:tr>
      <w:tr w:rsidR="00C416F9" w:rsidRPr="00A23C8A" w14:paraId="40E0BB0E" w14:textId="77777777" w:rsidTr="00A23C8A">
        <w:trPr>
          <w:trHeight w:val="340"/>
        </w:trPr>
        <w:tc>
          <w:tcPr>
            <w:tcW w:w="3402" w:type="dxa"/>
          </w:tcPr>
          <w:p w14:paraId="779D9C79" w14:textId="77777777" w:rsidR="00C416F9" w:rsidRPr="00A23C8A" w:rsidRDefault="00F7211F">
            <w:pPr>
              <w:ind w:left="142"/>
              <w:rPr>
                <w:rFonts w:asciiTheme="minorHAnsi" w:hAnsiTheme="minorHAnsi" w:cstheme="minorHAnsi"/>
                <w:color w:val="000000"/>
                <w:szCs w:val="20"/>
              </w:rPr>
            </w:pPr>
            <w:r w:rsidRPr="00A23C8A">
              <w:rPr>
                <w:rFonts w:asciiTheme="minorHAnsi" w:hAnsiTheme="minorHAnsi" w:cstheme="minorHAnsi"/>
                <w:color w:val="000000"/>
                <w:szCs w:val="20"/>
              </w:rPr>
              <w:t xml:space="preserve">Autonomous Student Learning </w:t>
            </w:r>
          </w:p>
        </w:tc>
        <w:tc>
          <w:tcPr>
            <w:tcW w:w="1418" w:type="dxa"/>
          </w:tcPr>
          <w:p w14:paraId="7488D859" w14:textId="5418F7FB" w:rsidR="00C416F9" w:rsidRPr="00A23C8A" w:rsidRDefault="00E41D21">
            <w:pPr>
              <w:ind w:left="142"/>
              <w:rPr>
                <w:rFonts w:asciiTheme="minorHAnsi" w:hAnsiTheme="minorHAnsi" w:cstheme="minorHAnsi"/>
                <w:color w:val="000000"/>
                <w:szCs w:val="20"/>
              </w:rPr>
            </w:pPr>
            <w:r>
              <w:rPr>
                <w:rFonts w:asciiTheme="minorHAnsi" w:hAnsiTheme="minorHAnsi" w:cstheme="minorHAnsi"/>
                <w:color w:val="000000"/>
                <w:szCs w:val="20"/>
              </w:rPr>
              <w:t>134</w:t>
            </w:r>
          </w:p>
        </w:tc>
      </w:tr>
      <w:tr w:rsidR="00C416F9" w:rsidRPr="00A23C8A" w14:paraId="779C4172" w14:textId="77777777" w:rsidTr="00A23C8A">
        <w:trPr>
          <w:cnfStyle w:val="010000000000" w:firstRow="0" w:lastRow="1" w:firstColumn="0" w:lastColumn="0" w:oddVBand="0" w:evenVBand="0" w:oddHBand="0" w:evenHBand="0" w:firstRowFirstColumn="0" w:firstRowLastColumn="0" w:lastRowFirstColumn="0" w:lastRowLastColumn="0"/>
          <w:trHeight w:val="340"/>
        </w:trPr>
        <w:tc>
          <w:tcPr>
            <w:tcW w:w="3402" w:type="dxa"/>
          </w:tcPr>
          <w:p w14:paraId="0874D125" w14:textId="77777777" w:rsidR="00C416F9" w:rsidRPr="00A23C8A" w:rsidRDefault="00F7211F">
            <w:pPr>
              <w:ind w:left="142"/>
              <w:rPr>
                <w:rFonts w:asciiTheme="minorHAnsi" w:hAnsiTheme="minorHAnsi" w:cstheme="minorHAnsi"/>
                <w:color w:val="000000"/>
                <w:szCs w:val="20"/>
              </w:rPr>
            </w:pPr>
            <w:r w:rsidRPr="00A23C8A">
              <w:rPr>
                <w:rFonts w:asciiTheme="minorHAnsi" w:hAnsiTheme="minorHAnsi" w:cstheme="minorHAnsi"/>
                <w:color w:val="000000"/>
                <w:szCs w:val="20"/>
              </w:rPr>
              <w:t>Total Workload</w:t>
            </w:r>
          </w:p>
        </w:tc>
        <w:tc>
          <w:tcPr>
            <w:tcW w:w="1418" w:type="dxa"/>
          </w:tcPr>
          <w:p w14:paraId="04882FBE" w14:textId="77777777" w:rsidR="00C416F9" w:rsidRPr="00A23C8A" w:rsidRDefault="00F7211F">
            <w:pPr>
              <w:ind w:left="142"/>
              <w:rPr>
                <w:rFonts w:asciiTheme="minorHAnsi" w:hAnsiTheme="minorHAnsi" w:cstheme="minorHAnsi"/>
                <w:color w:val="000000"/>
                <w:szCs w:val="20"/>
              </w:rPr>
            </w:pPr>
            <w:r w:rsidRPr="00A23C8A">
              <w:rPr>
                <w:rFonts w:asciiTheme="minorHAnsi" w:hAnsiTheme="minorHAnsi" w:cstheme="minorHAnsi"/>
                <w:color w:val="000000"/>
                <w:szCs w:val="20"/>
              </w:rPr>
              <w:t>200</w:t>
            </w:r>
          </w:p>
        </w:tc>
      </w:tr>
    </w:tbl>
    <w:p w14:paraId="2325984A" w14:textId="77777777" w:rsidR="00B62BEA" w:rsidRPr="00A23C8A" w:rsidRDefault="00B62BEA" w:rsidP="00A23C8A">
      <w:pPr>
        <w:pStyle w:val="Heading2"/>
      </w:pPr>
      <w:r w:rsidRPr="00A23C8A">
        <w:t>What learning supports are provided?</w:t>
      </w:r>
    </w:p>
    <w:p w14:paraId="74500368" w14:textId="77777777" w:rsidR="00B62BEA" w:rsidRPr="00B62BEA" w:rsidRDefault="00B62BEA" w:rsidP="00A23C8A">
      <w:pPr>
        <w:pStyle w:val="ListParagraph"/>
      </w:pPr>
      <w:r w:rsidRPr="00B62BEA">
        <w:t>Materials from the following anthologies are set as required reading:</w:t>
      </w:r>
    </w:p>
    <w:p w14:paraId="50E21D94" w14:textId="77777777" w:rsidR="00B62BEA" w:rsidRPr="00A23C8A" w:rsidRDefault="00B62BEA" w:rsidP="00A23C8A">
      <w:pPr>
        <w:pStyle w:val="Bullets"/>
      </w:pPr>
      <w:proofErr w:type="spellStart"/>
      <w:r w:rsidRPr="00A23C8A">
        <w:t>Mirzoeff</w:t>
      </w:r>
      <w:proofErr w:type="spellEnd"/>
      <w:r w:rsidRPr="00A23C8A">
        <w:t>, Nicholas (ed.). The Visual Culture Reader, (Routledge, 1998)</w:t>
      </w:r>
    </w:p>
    <w:p w14:paraId="0D958A3D" w14:textId="77777777" w:rsidR="00B62BEA" w:rsidRPr="00A23C8A" w:rsidRDefault="00B62BEA" w:rsidP="00A23C8A">
      <w:pPr>
        <w:pStyle w:val="Bullets"/>
      </w:pPr>
      <w:proofErr w:type="spellStart"/>
      <w:r w:rsidRPr="00A23C8A">
        <w:t>Rampley</w:t>
      </w:r>
      <w:proofErr w:type="spellEnd"/>
      <w:r w:rsidRPr="00A23C8A">
        <w:t>, Matthew (ed.) Exploring Visual Culture, (Edinburgh University Press, 2005)</w:t>
      </w:r>
    </w:p>
    <w:p w14:paraId="3CE506F9" w14:textId="77777777" w:rsidR="00B62BEA" w:rsidRPr="00A23C8A" w:rsidRDefault="00B62BEA" w:rsidP="00A23C8A">
      <w:pPr>
        <w:pStyle w:val="Bullets"/>
      </w:pPr>
      <w:r w:rsidRPr="00A23C8A">
        <w:t>Wood, Paul (ed.) Varieties of Modernism, (The Open University, 2004)</w:t>
      </w:r>
    </w:p>
    <w:p w14:paraId="39495CDE" w14:textId="77777777" w:rsidR="00B62BEA" w:rsidRPr="00B62BEA" w:rsidRDefault="00B62BEA" w:rsidP="00A23C8A"/>
    <w:p w14:paraId="4E7C8564" w14:textId="77777777" w:rsidR="00B62BEA" w:rsidRPr="00B62BEA" w:rsidRDefault="00B62BEA" w:rsidP="00A23C8A">
      <w:pPr>
        <w:pStyle w:val="ListParagraph"/>
      </w:pPr>
      <w:r w:rsidRPr="00B62BEA">
        <w:t xml:space="preserve">Students are also supplied with bibliographies and seminar handouts. </w:t>
      </w:r>
    </w:p>
    <w:p w14:paraId="3DADBFEA" w14:textId="77777777" w:rsidR="00B62BEA" w:rsidRPr="00B62BEA" w:rsidRDefault="00B62BEA" w:rsidP="00A23C8A">
      <w:pPr>
        <w:pStyle w:val="Heading2"/>
        <w:rPr>
          <w:rFonts w:eastAsia="Arial"/>
        </w:rPr>
      </w:pPr>
      <w:r w:rsidRPr="00B62BEA">
        <w:rPr>
          <w:rFonts w:eastAsia="Arial"/>
        </w:rPr>
        <w:t>Am I eligible to take this module?</w:t>
      </w:r>
    </w:p>
    <w:p w14:paraId="4DA8515E" w14:textId="77777777" w:rsidR="00B62BEA" w:rsidRPr="00A23C8A" w:rsidRDefault="00B62BEA" w:rsidP="00A23C8A">
      <w:pPr>
        <w:pStyle w:val="Heading3"/>
      </w:pPr>
      <w:r w:rsidRPr="00A23C8A">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C416F9" w:rsidRPr="00A23C8A" w14:paraId="58C5537A" w14:textId="77777777" w:rsidTr="00A23C8A">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7223B84D" w14:textId="77777777" w:rsidR="00C416F9" w:rsidRPr="00A23C8A" w:rsidRDefault="00F7211F" w:rsidP="00A23C8A">
            <w:r w:rsidRPr="00A23C8A">
              <w:t>Pre-requisites</w:t>
            </w:r>
          </w:p>
        </w:tc>
        <w:tc>
          <w:tcPr>
            <w:tcW w:w="7295" w:type="dxa"/>
          </w:tcPr>
          <w:p w14:paraId="5F624A32" w14:textId="77777777" w:rsidR="00C416F9" w:rsidRPr="00A23C8A" w:rsidRDefault="00F7211F" w:rsidP="00A23C8A">
            <w:pPr>
              <w:cnfStyle w:val="000000000000" w:firstRow="0" w:lastRow="0" w:firstColumn="0" w:lastColumn="0" w:oddVBand="0" w:evenVBand="0" w:oddHBand="0" w:evenHBand="0" w:firstRowFirstColumn="0" w:firstRowLastColumn="0" w:lastRowFirstColumn="0" w:lastRowLastColumn="0"/>
            </w:pPr>
            <w:r w:rsidRPr="00A23C8A">
              <w:t>None</w:t>
            </w:r>
          </w:p>
        </w:tc>
      </w:tr>
      <w:tr w:rsidR="00C416F9" w:rsidRPr="00A23C8A" w14:paraId="6385AA8F" w14:textId="77777777" w:rsidTr="00A23C8A">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25205E11" w14:textId="77777777" w:rsidR="00C416F9" w:rsidRPr="00A23C8A" w:rsidRDefault="00F7211F" w:rsidP="00A23C8A">
            <w:r w:rsidRPr="00A23C8A">
              <w:t>Co-requisites</w:t>
            </w:r>
          </w:p>
        </w:tc>
        <w:tc>
          <w:tcPr>
            <w:tcW w:w="7295" w:type="dxa"/>
          </w:tcPr>
          <w:p w14:paraId="65C5777C" w14:textId="77777777" w:rsidR="00C416F9" w:rsidRPr="00A23C8A" w:rsidRDefault="00F7211F" w:rsidP="00A23C8A">
            <w:pPr>
              <w:cnfStyle w:val="000000000000" w:firstRow="0" w:lastRow="0" w:firstColumn="0" w:lastColumn="0" w:oddVBand="0" w:evenVBand="0" w:oddHBand="0" w:evenHBand="0" w:firstRowFirstColumn="0" w:firstRowLastColumn="0" w:lastRowFirstColumn="0" w:lastRowLastColumn="0"/>
            </w:pPr>
            <w:r w:rsidRPr="00A23C8A">
              <w:t>None</w:t>
            </w:r>
          </w:p>
        </w:tc>
      </w:tr>
      <w:tr w:rsidR="00C416F9" w:rsidRPr="00A23C8A" w14:paraId="7C4AB6DB" w14:textId="77777777" w:rsidTr="00A23C8A">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19ED19FA" w14:textId="77777777" w:rsidR="00C416F9" w:rsidRPr="00A23C8A" w:rsidRDefault="00F7211F" w:rsidP="00A23C8A">
            <w:r w:rsidRPr="00A23C8A">
              <w:t>Incompatibles</w:t>
            </w:r>
          </w:p>
        </w:tc>
        <w:tc>
          <w:tcPr>
            <w:tcW w:w="7295" w:type="dxa"/>
          </w:tcPr>
          <w:p w14:paraId="380A401F" w14:textId="77777777" w:rsidR="00C416F9" w:rsidRPr="00A23C8A" w:rsidRDefault="00F7211F" w:rsidP="00A23C8A">
            <w:pPr>
              <w:cnfStyle w:val="000000000000" w:firstRow="0" w:lastRow="0" w:firstColumn="0" w:lastColumn="0" w:oddVBand="0" w:evenVBand="0" w:oddHBand="0" w:evenHBand="0" w:firstRowFirstColumn="0" w:firstRowLastColumn="0" w:lastRowFirstColumn="0" w:lastRowLastColumn="0"/>
            </w:pPr>
            <w:r w:rsidRPr="00A23C8A">
              <w:t>None</w:t>
            </w:r>
          </w:p>
        </w:tc>
      </w:tr>
      <w:tr w:rsidR="00C416F9" w:rsidRPr="00A23C8A" w14:paraId="7892D0CD" w14:textId="77777777" w:rsidTr="00A23C8A">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5955E857" w14:textId="77777777" w:rsidR="00C416F9" w:rsidRPr="00A23C8A" w:rsidRDefault="00F7211F" w:rsidP="00A23C8A">
            <w:r w:rsidRPr="00A23C8A">
              <w:t>Prior learning</w:t>
            </w:r>
          </w:p>
        </w:tc>
        <w:tc>
          <w:tcPr>
            <w:tcW w:w="7295" w:type="dxa"/>
          </w:tcPr>
          <w:p w14:paraId="4FBF4A50" w14:textId="77777777" w:rsidR="00C416F9" w:rsidRPr="00A23C8A" w:rsidRDefault="00F7211F" w:rsidP="00A23C8A">
            <w:pPr>
              <w:cnfStyle w:val="000000000000" w:firstRow="0" w:lastRow="0" w:firstColumn="0" w:lastColumn="0" w:oddVBand="0" w:evenVBand="0" w:oddHBand="0" w:evenHBand="0" w:firstRowFirstColumn="0" w:firstRowLastColumn="0" w:lastRowFirstColumn="0" w:lastRowLastColumn="0"/>
            </w:pPr>
            <w:r w:rsidRPr="00A23C8A">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C416F9" w:rsidRPr="00A23C8A" w14:paraId="27FF20AB" w14:textId="77777777" w:rsidTr="00A23C8A">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33613E56" w14:textId="77777777" w:rsidR="00C416F9" w:rsidRPr="00A23C8A" w:rsidRDefault="00F7211F" w:rsidP="00A23C8A">
            <w:r w:rsidRPr="00A23C8A">
              <w:t>Recommended</w:t>
            </w:r>
          </w:p>
        </w:tc>
        <w:tc>
          <w:tcPr>
            <w:tcW w:w="7295" w:type="dxa"/>
          </w:tcPr>
          <w:p w14:paraId="34A13871" w14:textId="77777777" w:rsidR="00C416F9" w:rsidRPr="00A23C8A" w:rsidRDefault="00F7211F" w:rsidP="00A23C8A">
            <w:pPr>
              <w:cnfStyle w:val="000000000000" w:firstRow="0" w:lastRow="0" w:firstColumn="0" w:lastColumn="0" w:oddVBand="0" w:evenVBand="0" w:oddHBand="0" w:evenHBand="0" w:firstRowFirstColumn="0" w:firstRowLastColumn="0" w:lastRowFirstColumn="0" w:lastRowLastColumn="0"/>
            </w:pPr>
            <w:r w:rsidRPr="00A23C8A">
              <w:t>None</w:t>
            </w:r>
          </w:p>
        </w:tc>
      </w:tr>
    </w:tbl>
    <w:p w14:paraId="09766280" w14:textId="77777777" w:rsidR="00B62BEA" w:rsidRPr="00B62BEA" w:rsidRDefault="00B62BEA" w:rsidP="00A23C8A">
      <w:pPr>
        <w:pStyle w:val="Heading2"/>
        <w:rPr>
          <w:rFonts w:eastAsia="Calibri"/>
        </w:rPr>
      </w:pPr>
      <w:r w:rsidRPr="00B62BEA">
        <w:lastRenderedPageBreak/>
        <w:t>How will I be assessed?</w:t>
      </w:r>
    </w:p>
    <w:tbl>
      <w:tblPr>
        <w:tblStyle w:val="GridTable2-Accent1"/>
        <w:tblW w:w="9026" w:type="dxa"/>
        <w:tblLayout w:type="fixed"/>
        <w:tblLook w:val="0660" w:firstRow="1" w:lastRow="1" w:firstColumn="0" w:lastColumn="0" w:noHBand="1" w:noVBand="1"/>
      </w:tblPr>
      <w:tblGrid>
        <w:gridCol w:w="4187"/>
        <w:gridCol w:w="1714"/>
        <w:gridCol w:w="3125"/>
      </w:tblGrid>
      <w:tr w:rsidR="00C416F9" w:rsidRPr="00A23C8A" w14:paraId="6A71245C" w14:textId="77777777" w:rsidTr="00A23C8A">
        <w:trPr>
          <w:cnfStyle w:val="100000000000" w:firstRow="1" w:lastRow="0" w:firstColumn="0" w:lastColumn="0" w:oddVBand="0" w:evenVBand="0" w:oddHBand="0" w:evenHBand="0" w:firstRowFirstColumn="0" w:firstRowLastColumn="0" w:lastRowFirstColumn="0" w:lastRowLastColumn="0"/>
          <w:trHeight w:val="24"/>
        </w:trPr>
        <w:tc>
          <w:tcPr>
            <w:tcW w:w="4187" w:type="dxa"/>
          </w:tcPr>
          <w:p w14:paraId="48776A32" w14:textId="77777777" w:rsidR="00C416F9" w:rsidRPr="00A23C8A" w:rsidRDefault="00F7211F" w:rsidP="00A23C8A">
            <w:pPr>
              <w:keepNext/>
              <w:rPr>
                <w:rFonts w:cs="Calibri"/>
              </w:rPr>
            </w:pPr>
            <w:r w:rsidRPr="00A23C8A">
              <w:rPr>
                <w:rFonts w:cs="Calibri"/>
              </w:rPr>
              <w:t>Assessment tool</w:t>
            </w:r>
          </w:p>
        </w:tc>
        <w:tc>
          <w:tcPr>
            <w:tcW w:w="1714" w:type="dxa"/>
          </w:tcPr>
          <w:p w14:paraId="2831DB94" w14:textId="77777777" w:rsidR="00C416F9" w:rsidRPr="00A23C8A" w:rsidRDefault="00F7211F" w:rsidP="00A23C8A">
            <w:pPr>
              <w:keepNext/>
              <w:rPr>
                <w:rFonts w:cs="Calibri"/>
              </w:rPr>
            </w:pPr>
            <w:r w:rsidRPr="00A23C8A">
              <w:rPr>
                <w:rFonts w:cs="Calibri"/>
              </w:rPr>
              <w:t>% of final grade</w:t>
            </w:r>
          </w:p>
        </w:tc>
        <w:tc>
          <w:tcPr>
            <w:tcW w:w="3125" w:type="dxa"/>
          </w:tcPr>
          <w:p w14:paraId="1BC18752" w14:textId="77777777" w:rsidR="00C416F9" w:rsidRPr="00A23C8A" w:rsidRDefault="00F7211F" w:rsidP="00A23C8A">
            <w:pPr>
              <w:keepNext/>
              <w:rPr>
                <w:rFonts w:cs="Calibri"/>
              </w:rPr>
            </w:pPr>
            <w:r w:rsidRPr="00A23C8A">
              <w:rPr>
                <w:rFonts w:cs="Calibri"/>
              </w:rPr>
              <w:t>Timing</w:t>
            </w:r>
          </w:p>
        </w:tc>
      </w:tr>
      <w:tr w:rsidR="00C416F9" w:rsidRPr="00A23C8A" w14:paraId="410AE596" w14:textId="77777777" w:rsidTr="00A23C8A">
        <w:trPr>
          <w:trHeight w:val="340"/>
        </w:trPr>
        <w:tc>
          <w:tcPr>
            <w:tcW w:w="4187" w:type="dxa"/>
          </w:tcPr>
          <w:p w14:paraId="118CD9E2" w14:textId="77777777" w:rsidR="00C416F9" w:rsidRPr="00A23C8A" w:rsidRDefault="00F7211F" w:rsidP="00A23C8A">
            <w:pPr>
              <w:keepNext/>
              <w:rPr>
                <w:rFonts w:cs="Calibri"/>
              </w:rPr>
            </w:pPr>
            <w:r w:rsidRPr="00A23C8A">
              <w:rPr>
                <w:rFonts w:cs="Calibri"/>
              </w:rPr>
              <w:t>Illustrated essay</w:t>
            </w:r>
          </w:p>
        </w:tc>
        <w:tc>
          <w:tcPr>
            <w:tcW w:w="1714" w:type="dxa"/>
          </w:tcPr>
          <w:p w14:paraId="638F5B43" w14:textId="77777777" w:rsidR="00C416F9" w:rsidRPr="00A23C8A" w:rsidRDefault="00F7211F" w:rsidP="00A23C8A">
            <w:pPr>
              <w:keepNext/>
              <w:rPr>
                <w:rFonts w:cs="Calibri"/>
              </w:rPr>
            </w:pPr>
            <w:r w:rsidRPr="00A23C8A">
              <w:rPr>
                <w:rFonts w:cs="Calibri"/>
              </w:rPr>
              <w:t>100%</w:t>
            </w:r>
          </w:p>
        </w:tc>
        <w:tc>
          <w:tcPr>
            <w:tcW w:w="3125" w:type="dxa"/>
          </w:tcPr>
          <w:p w14:paraId="0DAD00F8" w14:textId="77777777" w:rsidR="00C416F9" w:rsidRPr="00A23C8A" w:rsidRDefault="00F7211F" w:rsidP="00A23C8A">
            <w:pPr>
              <w:keepNext/>
              <w:rPr>
                <w:rFonts w:cs="Calibri"/>
              </w:rPr>
            </w:pPr>
            <w:r w:rsidRPr="00A23C8A">
              <w:rPr>
                <w:rFonts w:cs="Calibri"/>
              </w:rPr>
              <w:t>Week 11</w:t>
            </w:r>
          </w:p>
        </w:tc>
      </w:tr>
      <w:tr w:rsidR="00C416F9" w:rsidRPr="00A23C8A" w14:paraId="09D2F561" w14:textId="77777777" w:rsidTr="00A23C8A">
        <w:trPr>
          <w:cnfStyle w:val="010000000000" w:firstRow="0" w:lastRow="1" w:firstColumn="0" w:lastColumn="0" w:oddVBand="0" w:evenVBand="0" w:oddHBand="0" w:evenHBand="0" w:firstRowFirstColumn="0" w:firstRowLastColumn="0" w:lastRowFirstColumn="0" w:lastRowLastColumn="0"/>
          <w:trHeight w:val="340"/>
        </w:trPr>
        <w:tc>
          <w:tcPr>
            <w:tcW w:w="4187" w:type="dxa"/>
          </w:tcPr>
          <w:p w14:paraId="5A168DDF" w14:textId="77777777" w:rsidR="00C416F9" w:rsidRPr="00A23C8A" w:rsidRDefault="00F7211F" w:rsidP="00A23C8A">
            <w:pPr>
              <w:keepNext/>
              <w:rPr>
                <w:rFonts w:cs="Calibri"/>
              </w:rPr>
            </w:pPr>
            <w:r w:rsidRPr="00A23C8A">
              <w:rPr>
                <w:rFonts w:cs="Calibri"/>
              </w:rPr>
              <w:t>Total</w:t>
            </w:r>
          </w:p>
        </w:tc>
        <w:tc>
          <w:tcPr>
            <w:tcW w:w="1714" w:type="dxa"/>
          </w:tcPr>
          <w:p w14:paraId="2E4D90CF" w14:textId="77777777" w:rsidR="00C416F9" w:rsidRPr="00A23C8A" w:rsidRDefault="00F7211F" w:rsidP="00A23C8A">
            <w:pPr>
              <w:keepNext/>
              <w:rPr>
                <w:rFonts w:cs="Calibri"/>
              </w:rPr>
            </w:pPr>
            <w:r w:rsidRPr="00A23C8A">
              <w:rPr>
                <w:rFonts w:cs="Calibri"/>
              </w:rPr>
              <w:t>100%</w:t>
            </w:r>
          </w:p>
        </w:tc>
        <w:tc>
          <w:tcPr>
            <w:tcW w:w="3125" w:type="dxa"/>
          </w:tcPr>
          <w:p w14:paraId="70B92525" w14:textId="77777777" w:rsidR="00C416F9" w:rsidRPr="00A23C8A" w:rsidRDefault="00C416F9" w:rsidP="00A23C8A">
            <w:pPr>
              <w:keepNext/>
              <w:rPr>
                <w:rFonts w:cs="Calibri"/>
              </w:rPr>
            </w:pPr>
          </w:p>
        </w:tc>
      </w:tr>
    </w:tbl>
    <w:p w14:paraId="7D1C444E" w14:textId="1A16E05B" w:rsidR="00C416F9" w:rsidRPr="00B62BEA" w:rsidRDefault="00F7211F" w:rsidP="00A23C8A">
      <w:pPr>
        <w:pStyle w:val="ListParagraph"/>
      </w:pPr>
      <w:r w:rsidRPr="00B62BEA">
        <w:t>Students are required to submit a 3000</w:t>
      </w:r>
      <w:r w:rsidR="00A23C8A">
        <w:t>-word</w:t>
      </w:r>
      <w:r w:rsidRPr="00B62BEA">
        <w:t xml:space="preserve"> essay.</w:t>
      </w:r>
      <w:r w:rsidR="00A23C8A">
        <w:t xml:space="preserve"> </w:t>
      </w:r>
      <w:r w:rsidRPr="00B62BEA">
        <w:t xml:space="preserve"> This involves a critical examination of the conceptual frameworks supplied by other scholars as well as careful object</w:t>
      </w:r>
      <w:r w:rsidR="00A23C8A">
        <w:t xml:space="preserve">- or </w:t>
      </w:r>
      <w:r w:rsidRPr="00B62BEA">
        <w:t>image</w:t>
      </w:r>
      <w:r w:rsidR="00A23C8A">
        <w:t>-</w:t>
      </w:r>
      <w:r w:rsidRPr="00B62BEA">
        <w:t xml:space="preserve">analysis and description. </w:t>
      </w:r>
      <w:r w:rsidR="00A23C8A">
        <w:t xml:space="preserve"> </w:t>
      </w:r>
      <w:r w:rsidRPr="00B62BEA">
        <w:t xml:space="preserve">The essay will be assessed using </w:t>
      </w:r>
      <w:hyperlink r:id="rId8" w:history="1">
        <w:r w:rsidRPr="00A23C8A">
          <w:rPr>
            <w:rStyle w:val="Hyperlink"/>
          </w:rPr>
          <w:t xml:space="preserve">NCAD’s Grade </w:t>
        </w:r>
        <w:r w:rsidR="00A23C8A" w:rsidRPr="00A23C8A">
          <w:rPr>
            <w:rStyle w:val="Hyperlink"/>
          </w:rPr>
          <w:t>Descriptors</w:t>
        </w:r>
      </w:hyperlink>
      <w:r w:rsidRPr="00B62BEA">
        <w:t>.</w:t>
      </w:r>
      <w:r w:rsidR="00A23C8A">
        <w:t xml:space="preserve"> </w:t>
      </w:r>
      <w:r w:rsidRPr="00B62BEA">
        <w:t xml:space="preserve"> Written feedback will be supplied.</w:t>
      </w:r>
    </w:p>
    <w:p w14:paraId="68D8528C" w14:textId="77777777" w:rsidR="00B62BEA" w:rsidRPr="00B62BEA" w:rsidRDefault="00B62BEA" w:rsidP="00A23C8A">
      <w:pPr>
        <w:pStyle w:val="Heading2"/>
        <w:rPr>
          <w:rFonts w:eastAsia="Calibri"/>
        </w:rPr>
      </w:pPr>
      <w:r w:rsidRPr="00B62BEA">
        <w:t>Feedback, results and grading</w:t>
      </w:r>
    </w:p>
    <w:p w14:paraId="4DE3BE51" w14:textId="1B8BDD7C" w:rsidR="00B62BEA" w:rsidRPr="00B62BEA" w:rsidRDefault="00B62BEA" w:rsidP="00A23C8A">
      <w:pPr>
        <w:pStyle w:val="ListParagraph"/>
      </w:pPr>
      <w:r w:rsidRPr="00B62BEA">
        <w:t xml:space="preserve">Work submitted for assessment will be graded using </w:t>
      </w:r>
      <w:hyperlink r:id="rId9" w:history="1">
        <w:r w:rsidRPr="00A23C8A">
          <w:rPr>
            <w:rStyle w:val="Hyperlink"/>
          </w:rPr>
          <w:t xml:space="preserve">NCAD Grade </w:t>
        </w:r>
        <w:r w:rsidR="00A23C8A" w:rsidRPr="00A23C8A">
          <w:rPr>
            <w:rStyle w:val="Hyperlink"/>
          </w:rPr>
          <w:t>Descriptors</w:t>
        </w:r>
      </w:hyperlink>
      <w:r w:rsidRPr="00B62BEA">
        <w:t xml:space="preserve">. </w:t>
      </w:r>
    </w:p>
    <w:p w14:paraId="35091420" w14:textId="5FBC9904" w:rsidR="00B62BEA" w:rsidRPr="00B62BEA" w:rsidRDefault="00B62BEA" w:rsidP="00A23C8A">
      <w:pPr>
        <w:pStyle w:val="ListParagraph"/>
      </w:pPr>
      <w:r w:rsidRPr="00B62BEA">
        <w:t xml:space="preserve">Please note: students undertaking the electives which form part of this module will be at different stages of their study, and tutors will recognise this in their feedback. </w:t>
      </w:r>
      <w:r w:rsidR="00A23C8A">
        <w:t xml:space="preserve"> </w:t>
      </w:r>
      <w:r w:rsidRPr="00B62BEA">
        <w:t>For instance, first year students should be able to assess the relative usefulness of the sources with which they work, understanding the different qualities of primary sources and secondary ones., whereas second- and third-year students should be able to demonstrate greater degrees of independence as researchers in the sourcing and selection of such materials.</w:t>
      </w:r>
    </w:p>
    <w:p w14:paraId="029A6A17" w14:textId="77777777" w:rsidR="00B62BEA" w:rsidRPr="00B62BEA" w:rsidRDefault="00B62BEA" w:rsidP="00A23C8A">
      <w:pPr>
        <w:pStyle w:val="Heading2"/>
        <w:rPr>
          <w:rFonts w:eastAsia="Calibri"/>
        </w:rPr>
      </w:pPr>
      <w:r w:rsidRPr="00B62BEA">
        <w:t>What happens if I fail?</w:t>
      </w:r>
    </w:p>
    <w:p w14:paraId="78E4A56E" w14:textId="77777777" w:rsidR="00B62BEA" w:rsidRPr="00B62BEA" w:rsidRDefault="00B62BEA" w:rsidP="00A23C8A">
      <w:pPr>
        <w:pStyle w:val="Heading3"/>
      </w:pPr>
      <w:r w:rsidRPr="00B62BEA">
        <w:t>Resit Opportunities</w:t>
      </w:r>
    </w:p>
    <w:p w14:paraId="76AB6C30" w14:textId="77777777" w:rsidR="00B62BEA" w:rsidRPr="00B62BEA" w:rsidRDefault="00B62BEA" w:rsidP="00A23C8A">
      <w:pPr>
        <w:pStyle w:val="ListParagraph"/>
      </w:pPr>
      <w:r w:rsidRPr="00B62BEA">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19E19FEA" w14:textId="77777777" w:rsidR="00B62BEA" w:rsidRPr="00B62BEA" w:rsidRDefault="00B62BEA" w:rsidP="00A23C8A">
      <w:pPr>
        <w:pStyle w:val="Heading2"/>
        <w:rPr>
          <w:rFonts w:eastAsia="Calibri"/>
        </w:rPr>
      </w:pPr>
      <w:r w:rsidRPr="00B62BEA">
        <w:t>When and where is this module offered?</w:t>
      </w:r>
    </w:p>
    <w:p w14:paraId="7FC0830F" w14:textId="77777777" w:rsidR="00B62BEA" w:rsidRPr="00B62BEA" w:rsidRDefault="00B62BEA" w:rsidP="00A23C8A">
      <w:pPr>
        <w:pStyle w:val="ListParagraph"/>
      </w:pPr>
      <w:r w:rsidRPr="00B62BEA">
        <w:t>Venue TBC / Week 1-11</w:t>
      </w:r>
    </w:p>
    <w:p w14:paraId="1770D95A" w14:textId="77777777" w:rsidR="00B62BEA" w:rsidRPr="00B62BEA" w:rsidRDefault="00B62BEA" w:rsidP="00A23C8A">
      <w:pPr>
        <w:pStyle w:val="Heading2"/>
        <w:rPr>
          <w:rFonts w:eastAsia="Calibri"/>
        </w:rPr>
      </w:pPr>
      <w:r w:rsidRPr="00B62BEA">
        <w:t>How will I have the chance to evaluate the module?</w:t>
      </w:r>
    </w:p>
    <w:p w14:paraId="5F4F11C2" w14:textId="77777777" w:rsidR="00B62BEA" w:rsidRPr="00B62BEA" w:rsidRDefault="00B62BEA" w:rsidP="00A23C8A">
      <w:pPr>
        <w:pStyle w:val="ListParagraph"/>
      </w:pPr>
      <w:r w:rsidRPr="00B62BEA">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776924ED" w14:textId="30D338B4" w:rsidR="00B62BEA" w:rsidRPr="00B62BEA" w:rsidRDefault="00B62BEA" w:rsidP="00A23C8A">
      <w:pPr>
        <w:pStyle w:val="ListParagraph"/>
      </w:pPr>
      <w:r w:rsidRPr="00B62BEA">
        <w:t xml:space="preserve">About two-thirds of the way through the </w:t>
      </w:r>
      <w:r w:rsidR="00A23C8A">
        <w:t>year</w:t>
      </w:r>
      <w:r w:rsidRPr="00B62BEA">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17BA960E" w14:textId="77777777" w:rsidR="00B62BEA" w:rsidRPr="00B62BEA" w:rsidRDefault="00B62BEA" w:rsidP="00A23C8A">
      <w:pPr>
        <w:pStyle w:val="ListParagraph"/>
      </w:pPr>
      <w:r w:rsidRPr="00B62BEA">
        <w:t>In addition, you are invited to discuss your experience on the module with your lecturers at any point during the year.  You can also relay your comments to the class student representative who will communicate your comments to the staff.</w:t>
      </w:r>
    </w:p>
    <w:p w14:paraId="585735E5" w14:textId="77777777" w:rsidR="00C416F9" w:rsidRPr="00B62BEA" w:rsidRDefault="00F7211F" w:rsidP="00B62BEA">
      <w:pPr>
        <w:jc w:val="center"/>
        <w:rPr>
          <w:b/>
          <w:sz w:val="20"/>
        </w:rPr>
      </w:pPr>
      <w:r w:rsidRPr="00B62BEA">
        <w:rPr>
          <w:b/>
          <w:sz w:val="20"/>
        </w:rPr>
        <w:lastRenderedPageBreak/>
        <w:t>For further details on the content of your module and teaching arrangements,</w:t>
      </w:r>
      <w:r w:rsidRPr="00B62BEA">
        <w:rPr>
          <w:b/>
          <w:sz w:val="20"/>
        </w:rPr>
        <w:br/>
        <w:t>consult your Programme or Module Handbook</w:t>
      </w:r>
    </w:p>
    <w:sectPr w:rsidR="00C416F9" w:rsidRPr="00B62BEA" w:rsidSect="00B62BE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ED5B" w14:textId="77777777" w:rsidR="00217C80" w:rsidRDefault="00217C80">
      <w:r>
        <w:separator/>
      </w:r>
    </w:p>
    <w:p w14:paraId="0852A902" w14:textId="77777777" w:rsidR="00217C80" w:rsidRDefault="00217C80"/>
  </w:endnote>
  <w:endnote w:type="continuationSeparator" w:id="0">
    <w:p w14:paraId="041A4653" w14:textId="77777777" w:rsidR="00217C80" w:rsidRDefault="00217C80">
      <w:r>
        <w:continuationSeparator/>
      </w:r>
    </w:p>
    <w:p w14:paraId="7F089093" w14:textId="77777777" w:rsidR="00217C80" w:rsidRDefault="0021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0815" w14:textId="77777777" w:rsidR="00C416F9" w:rsidRDefault="00F7211F">
    <w:pPr>
      <w:rPr>
        <w:i/>
        <w:sz w:val="18"/>
        <w:szCs w:val="18"/>
      </w:rPr>
    </w:pPr>
    <w:r>
      <w:rPr>
        <w:i/>
        <w:sz w:val="18"/>
        <w:szCs w:val="18"/>
      </w:rPr>
      <w:t>VC1-1: Introduction to Key Concepts in Art &amp; Design 1A</w:t>
    </w:r>
  </w:p>
  <w:p w14:paraId="624BDA34" w14:textId="25493FBE" w:rsidR="00C416F9" w:rsidRDefault="00F7211F">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B74309">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12FEEF29" w14:textId="77777777" w:rsidR="00C416F9" w:rsidRDefault="00F7211F">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5929AB72" w14:textId="77777777" w:rsidR="00C416F9" w:rsidRDefault="00F7211F">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p w14:paraId="29B0575C" w14:textId="77777777" w:rsidR="006365E2" w:rsidRDefault="006365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18CE" w14:textId="520B2157" w:rsidR="00B62BEA" w:rsidRDefault="00B62BEA" w:rsidP="00B62BEA">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VC2-2 Histories of Art &amp; Design</w:t>
    </w:r>
    <w:r w:rsidR="00214616">
      <w:rPr>
        <w:rFonts w:cs="Calibri"/>
        <w:i/>
        <w:color w:val="000000"/>
        <w:sz w:val="18"/>
        <w:szCs w:val="18"/>
      </w:rPr>
      <w:t xml:space="preserve"> 2</w:t>
    </w:r>
    <w:r>
      <w:rPr>
        <w:rFonts w:cs="Calibri"/>
        <w:i/>
        <w:color w:val="000000"/>
        <w:sz w:val="18"/>
        <w:szCs w:val="18"/>
      </w:rPr>
      <w:t>: Varieties of Modernism</w:t>
    </w:r>
    <w:r>
      <w:rPr>
        <w:rFonts w:cs="Calibri"/>
        <w:i/>
        <w:color w:val="000000"/>
        <w:sz w:val="18"/>
        <w:szCs w:val="18"/>
      </w:rPr>
      <w:tab/>
    </w:r>
    <w:r>
      <w:rPr>
        <w:rFonts w:cs="Calibri"/>
        <w:i/>
        <w:color w:val="000000"/>
        <w:sz w:val="18"/>
        <w:szCs w:val="18"/>
      </w:rPr>
      <w:tab/>
      <w:t>Module Descriptor</w:t>
    </w:r>
  </w:p>
  <w:p w14:paraId="020C6630" w14:textId="06A8D770" w:rsidR="00B62BEA" w:rsidRDefault="00123044" w:rsidP="00B62BEA">
    <w:pPr>
      <w:pBdr>
        <w:top w:val="none" w:sz="0" w:space="0" w:color="000000"/>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B62BEA">
      <w:rPr>
        <w:i/>
        <w:sz w:val="18"/>
        <w:szCs w:val="18"/>
      </w:rPr>
      <w:tab/>
    </w:r>
    <w:r w:rsidR="00B62BEA">
      <w:rPr>
        <w:rFonts w:cs="Calibri"/>
        <w:i/>
        <w:color w:val="000000"/>
        <w:sz w:val="18"/>
        <w:szCs w:val="18"/>
      </w:rPr>
      <w:t xml:space="preserve">Page </w:t>
    </w:r>
    <w:r w:rsidR="00B62BEA">
      <w:rPr>
        <w:rFonts w:cs="Calibri"/>
        <w:i/>
        <w:color w:val="000000"/>
        <w:sz w:val="18"/>
        <w:szCs w:val="18"/>
      </w:rPr>
      <w:fldChar w:fldCharType="begin"/>
    </w:r>
    <w:r w:rsidR="00B62BEA">
      <w:rPr>
        <w:rFonts w:cs="Calibri"/>
        <w:i/>
        <w:color w:val="000000"/>
        <w:sz w:val="18"/>
        <w:szCs w:val="18"/>
      </w:rPr>
      <w:instrText>PAGE</w:instrText>
    </w:r>
    <w:r w:rsidR="00B62BEA">
      <w:rPr>
        <w:rFonts w:cs="Calibri"/>
        <w:i/>
        <w:color w:val="000000"/>
        <w:sz w:val="18"/>
        <w:szCs w:val="18"/>
      </w:rPr>
      <w:fldChar w:fldCharType="separate"/>
    </w:r>
    <w:r w:rsidR="00B62BEA">
      <w:rPr>
        <w:rFonts w:cs="Calibri"/>
        <w:i/>
        <w:color w:val="000000"/>
        <w:sz w:val="18"/>
        <w:szCs w:val="18"/>
      </w:rPr>
      <w:t>1</w:t>
    </w:r>
    <w:r w:rsidR="00B62BEA">
      <w:rPr>
        <w:rFonts w:cs="Calibri"/>
        <w:i/>
        <w:color w:val="000000"/>
        <w:sz w:val="18"/>
        <w:szCs w:val="18"/>
      </w:rPr>
      <w:fldChar w:fldCharType="end"/>
    </w:r>
    <w:r w:rsidR="00B62BEA">
      <w:rPr>
        <w:rFonts w:cs="Calibri"/>
        <w:i/>
        <w:color w:val="000000"/>
        <w:sz w:val="18"/>
        <w:szCs w:val="18"/>
      </w:rPr>
      <w:t xml:space="preserve"> of </w:t>
    </w:r>
    <w:r w:rsidR="00B62BEA">
      <w:rPr>
        <w:rFonts w:cs="Calibri"/>
        <w:i/>
        <w:color w:val="000000"/>
        <w:sz w:val="18"/>
        <w:szCs w:val="18"/>
      </w:rPr>
      <w:fldChar w:fldCharType="begin"/>
    </w:r>
    <w:r w:rsidR="00B62BEA">
      <w:rPr>
        <w:rFonts w:cs="Calibri"/>
        <w:i/>
        <w:color w:val="000000"/>
        <w:sz w:val="18"/>
        <w:szCs w:val="18"/>
      </w:rPr>
      <w:instrText>NUMPAGES</w:instrText>
    </w:r>
    <w:r w:rsidR="00B62BEA">
      <w:rPr>
        <w:rFonts w:cs="Calibri"/>
        <w:i/>
        <w:color w:val="000000"/>
        <w:sz w:val="18"/>
        <w:szCs w:val="18"/>
      </w:rPr>
      <w:fldChar w:fldCharType="separate"/>
    </w:r>
    <w:r w:rsidR="00B62BEA">
      <w:rPr>
        <w:rFonts w:cs="Calibri"/>
        <w:i/>
        <w:color w:val="000000"/>
        <w:sz w:val="18"/>
        <w:szCs w:val="18"/>
      </w:rPr>
      <w:t>3</w:t>
    </w:r>
    <w:r w:rsidR="00B62BEA">
      <w:rPr>
        <w:rFonts w:cs="Calibri"/>
        <w:i/>
        <w:color w:val="000000"/>
        <w:sz w:val="18"/>
        <w:szCs w:val="18"/>
      </w:rPr>
      <w:fldChar w:fldCharType="end"/>
    </w:r>
    <w:r w:rsidR="00B62BEA">
      <w:rPr>
        <w:i/>
        <w:sz w:val="18"/>
        <w:szCs w:val="18"/>
      </w:rPr>
      <w:tab/>
    </w:r>
    <w:bookmarkStart w:id="0" w:name="_GoBack"/>
    <w:bookmarkEnd w:id="0"/>
  </w:p>
  <w:p w14:paraId="03C634F6" w14:textId="36495BC5" w:rsidR="006365E2" w:rsidRPr="00E52817" w:rsidRDefault="00F7211F" w:rsidP="00E52817">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1669" w14:textId="7606634C" w:rsidR="00C416F9" w:rsidRDefault="00B62BEA">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VC2-2 Histories of Art &amp; Design</w:t>
    </w:r>
    <w:r w:rsidR="00214616">
      <w:rPr>
        <w:rFonts w:cs="Calibri"/>
        <w:i/>
        <w:color w:val="000000"/>
        <w:sz w:val="18"/>
        <w:szCs w:val="18"/>
      </w:rPr>
      <w:t xml:space="preserve"> 2</w:t>
    </w:r>
    <w:r>
      <w:rPr>
        <w:rFonts w:cs="Calibri"/>
        <w:i/>
        <w:color w:val="000000"/>
        <w:sz w:val="18"/>
        <w:szCs w:val="18"/>
      </w:rPr>
      <w:t>: Varieties of Modernism</w:t>
    </w:r>
    <w:r w:rsidR="00F7211F">
      <w:rPr>
        <w:rFonts w:cs="Calibri"/>
        <w:i/>
        <w:color w:val="000000"/>
        <w:sz w:val="18"/>
        <w:szCs w:val="18"/>
      </w:rPr>
      <w:tab/>
    </w:r>
    <w:r w:rsidR="00F7211F">
      <w:rPr>
        <w:rFonts w:cs="Calibri"/>
        <w:i/>
        <w:color w:val="000000"/>
        <w:sz w:val="18"/>
        <w:szCs w:val="18"/>
      </w:rPr>
      <w:tab/>
      <w:t>Module Descriptor</w:t>
    </w:r>
  </w:p>
  <w:p w14:paraId="41BA969A" w14:textId="0536CCEE" w:rsidR="00C416F9" w:rsidRDefault="00123044">
    <w:pPr>
      <w:pBdr>
        <w:top w:val="none" w:sz="0" w:space="0" w:color="000000"/>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F7211F">
      <w:rPr>
        <w:i/>
        <w:sz w:val="18"/>
        <w:szCs w:val="18"/>
      </w:rPr>
      <w:tab/>
    </w:r>
    <w:r w:rsidR="00B62BEA">
      <w:rPr>
        <w:rFonts w:cs="Calibri"/>
        <w:i/>
        <w:color w:val="000000"/>
        <w:sz w:val="18"/>
        <w:szCs w:val="18"/>
      </w:rPr>
      <w:t xml:space="preserve">Page </w:t>
    </w:r>
    <w:r w:rsidR="00B62BEA">
      <w:rPr>
        <w:rFonts w:cs="Calibri"/>
        <w:i/>
        <w:color w:val="000000"/>
        <w:sz w:val="18"/>
        <w:szCs w:val="18"/>
      </w:rPr>
      <w:fldChar w:fldCharType="begin"/>
    </w:r>
    <w:r w:rsidR="00B62BEA">
      <w:rPr>
        <w:rFonts w:cs="Calibri"/>
        <w:i/>
        <w:color w:val="000000"/>
        <w:sz w:val="18"/>
        <w:szCs w:val="18"/>
      </w:rPr>
      <w:instrText>PAGE</w:instrText>
    </w:r>
    <w:r w:rsidR="00B62BEA">
      <w:rPr>
        <w:rFonts w:cs="Calibri"/>
        <w:i/>
        <w:color w:val="000000"/>
        <w:sz w:val="18"/>
        <w:szCs w:val="18"/>
      </w:rPr>
      <w:fldChar w:fldCharType="separate"/>
    </w:r>
    <w:r w:rsidR="00B62BEA">
      <w:rPr>
        <w:rFonts w:cs="Calibri"/>
        <w:i/>
        <w:color w:val="000000"/>
        <w:sz w:val="18"/>
        <w:szCs w:val="18"/>
      </w:rPr>
      <w:t>1</w:t>
    </w:r>
    <w:r w:rsidR="00B62BEA">
      <w:rPr>
        <w:rFonts w:cs="Calibri"/>
        <w:i/>
        <w:color w:val="000000"/>
        <w:sz w:val="18"/>
        <w:szCs w:val="18"/>
      </w:rPr>
      <w:fldChar w:fldCharType="end"/>
    </w:r>
    <w:r w:rsidR="00B62BEA">
      <w:rPr>
        <w:rFonts w:cs="Calibri"/>
        <w:i/>
        <w:color w:val="000000"/>
        <w:sz w:val="18"/>
        <w:szCs w:val="18"/>
      </w:rPr>
      <w:t xml:space="preserve"> of </w:t>
    </w:r>
    <w:r w:rsidR="00B62BEA">
      <w:rPr>
        <w:rFonts w:cs="Calibri"/>
        <w:i/>
        <w:color w:val="000000"/>
        <w:sz w:val="18"/>
        <w:szCs w:val="18"/>
      </w:rPr>
      <w:fldChar w:fldCharType="begin"/>
    </w:r>
    <w:r w:rsidR="00B62BEA">
      <w:rPr>
        <w:rFonts w:cs="Calibri"/>
        <w:i/>
        <w:color w:val="000000"/>
        <w:sz w:val="18"/>
        <w:szCs w:val="18"/>
      </w:rPr>
      <w:instrText>NUMPAGES</w:instrText>
    </w:r>
    <w:r w:rsidR="00B62BEA">
      <w:rPr>
        <w:rFonts w:cs="Calibri"/>
        <w:i/>
        <w:color w:val="000000"/>
        <w:sz w:val="18"/>
        <w:szCs w:val="18"/>
      </w:rPr>
      <w:fldChar w:fldCharType="separate"/>
    </w:r>
    <w:r w:rsidR="00B62BEA">
      <w:rPr>
        <w:rFonts w:cs="Calibri"/>
        <w:i/>
        <w:color w:val="000000"/>
        <w:sz w:val="18"/>
        <w:szCs w:val="18"/>
      </w:rPr>
      <w:t>3</w:t>
    </w:r>
    <w:r w:rsidR="00B62BEA">
      <w:rPr>
        <w:rFonts w:cs="Calibri"/>
        <w:i/>
        <w:color w:val="000000"/>
        <w:sz w:val="18"/>
        <w:szCs w:val="18"/>
      </w:rPr>
      <w:fldChar w:fldCharType="end"/>
    </w:r>
    <w:r w:rsidR="00F7211F">
      <w:rPr>
        <w:i/>
        <w:sz w:val="18"/>
        <w:szCs w:val="18"/>
      </w:rPr>
      <w:tab/>
    </w:r>
  </w:p>
  <w:p w14:paraId="7F33BC99" w14:textId="375259BA" w:rsidR="006365E2" w:rsidRPr="00E52817" w:rsidRDefault="00F7211F" w:rsidP="00E52817">
    <w:pPr>
      <w:pBdr>
        <w:top w:val="none" w:sz="0" w:space="0" w:color="000000"/>
        <w:left w:val="nil"/>
        <w:bottom w:val="nil"/>
        <w:right w:val="nil"/>
        <w:between w:val="nil"/>
      </w:pBdr>
      <w:tabs>
        <w:tab w:val="center" w:pos="4513"/>
        <w:tab w:val="right" w:pos="9026"/>
      </w:tabs>
      <w:rPr>
        <w:rFonts w:cs="Calibri"/>
        <w:i/>
        <w:color w:val="000000"/>
        <w:sz w:val="18"/>
        <w:szCs w:val="18"/>
      </w:rPr>
    </w:pPr>
    <w:r>
      <w:rPr>
        <w:rFonts w:cs="Calibri"/>
        <w:i/>
        <w:color w:val="000000"/>
        <w:sz w:val="18"/>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EFB5" w14:textId="77777777" w:rsidR="00217C80" w:rsidRDefault="00217C80">
      <w:r>
        <w:separator/>
      </w:r>
    </w:p>
    <w:p w14:paraId="23AEB5D1" w14:textId="77777777" w:rsidR="00217C80" w:rsidRDefault="00217C80"/>
  </w:footnote>
  <w:footnote w:type="continuationSeparator" w:id="0">
    <w:p w14:paraId="10E9B7D8" w14:textId="77777777" w:rsidR="00217C80" w:rsidRDefault="00217C80">
      <w:r>
        <w:continuationSeparator/>
      </w:r>
    </w:p>
    <w:p w14:paraId="713EA419" w14:textId="77777777" w:rsidR="00217C80" w:rsidRDefault="00217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8B07" w14:textId="77777777" w:rsidR="00C416F9" w:rsidRDefault="00F7211F">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2F17B464" wp14:editId="3B701C59">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p w14:paraId="7BC5E5BA" w14:textId="77777777" w:rsidR="006365E2" w:rsidRDefault="006365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FAFC" w14:textId="75CDADD2" w:rsidR="006365E2" w:rsidRPr="00A23C8A" w:rsidRDefault="00B62BEA" w:rsidP="00A23C8A">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5A9B757D" wp14:editId="749D7B38">
          <wp:extent cx="900000" cy="395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3A1F" w14:textId="50A67A1C" w:rsidR="00C416F9" w:rsidRDefault="00B62BEA">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1DA75C37" wp14:editId="189D5F43">
          <wp:extent cx="1080000" cy="47432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p w14:paraId="477B4360" w14:textId="77777777" w:rsidR="006365E2" w:rsidRDefault="00636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6997"/>
    <w:multiLevelType w:val="multilevel"/>
    <w:tmpl w:val="3050C0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965511"/>
    <w:multiLevelType w:val="multilevel"/>
    <w:tmpl w:val="B4CC771A"/>
    <w:lvl w:ilvl="0">
      <w:start w:val="1"/>
      <w:numFmt w:val="bullet"/>
      <w:pStyle w:val="Bullets"/>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1934204"/>
    <w:multiLevelType w:val="multilevel"/>
    <w:tmpl w:val="3050C0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4B7D19"/>
    <w:multiLevelType w:val="multilevel"/>
    <w:tmpl w:val="3050C0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030805"/>
    <w:multiLevelType w:val="hybridMultilevel"/>
    <w:tmpl w:val="0C28ADF6"/>
    <w:lvl w:ilvl="0" w:tplc="35940172">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AEE2AC9"/>
    <w:multiLevelType w:val="multilevel"/>
    <w:tmpl w:val="26CA84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F9"/>
    <w:rsid w:val="0002373C"/>
    <w:rsid w:val="00123044"/>
    <w:rsid w:val="002072BF"/>
    <w:rsid w:val="00214616"/>
    <w:rsid w:val="00217C80"/>
    <w:rsid w:val="002553DB"/>
    <w:rsid w:val="00384861"/>
    <w:rsid w:val="0042148F"/>
    <w:rsid w:val="00423D4E"/>
    <w:rsid w:val="004F7B20"/>
    <w:rsid w:val="006365E2"/>
    <w:rsid w:val="00815717"/>
    <w:rsid w:val="00944C7E"/>
    <w:rsid w:val="00A23C8A"/>
    <w:rsid w:val="00B55823"/>
    <w:rsid w:val="00B62BEA"/>
    <w:rsid w:val="00B74309"/>
    <w:rsid w:val="00C416F9"/>
    <w:rsid w:val="00DE10F5"/>
    <w:rsid w:val="00E41D21"/>
    <w:rsid w:val="00E52817"/>
    <w:rsid w:val="00F252AF"/>
    <w:rsid w:val="00F721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4D7B"/>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C8A"/>
    <w:rPr>
      <w:rFonts w:cs="Times New Roman"/>
    </w:rPr>
  </w:style>
  <w:style w:type="paragraph" w:styleId="Heading1">
    <w:name w:val="heading 1"/>
    <w:basedOn w:val="Normal"/>
    <w:next w:val="Normal"/>
    <w:link w:val="Heading1Char"/>
    <w:uiPriority w:val="9"/>
    <w:qFormat/>
    <w:rsid w:val="00B62BEA"/>
    <w:pPr>
      <w:jc w:val="center"/>
      <w:outlineLvl w:val="0"/>
    </w:pPr>
    <w:rPr>
      <w:rFonts w:eastAsia="Times New Roman" w:cs="Times"/>
      <w:b/>
      <w:color w:val="1F4E79" w:themeColor="accent5" w:themeShade="80"/>
      <w:sz w:val="36"/>
    </w:rPr>
  </w:style>
  <w:style w:type="paragraph" w:styleId="Heading2">
    <w:name w:val="heading 2"/>
    <w:basedOn w:val="NoSpacing"/>
    <w:next w:val="Normal"/>
    <w:link w:val="Heading2Char"/>
    <w:uiPriority w:val="9"/>
    <w:unhideWhenUsed/>
    <w:qFormat/>
    <w:rsid w:val="00A23C8A"/>
    <w:pPr>
      <w:keepNext/>
      <w:keepLines/>
      <w:numPr>
        <w:numId w:val="3"/>
      </w:numPr>
      <w:pBdr>
        <w:bottom w:val="single" w:sz="8" w:space="1" w:color="2E74B5" w:themeColor="accent5" w:themeShade="BF"/>
      </w:pBdr>
      <w:spacing w:before="360" w:after="120"/>
      <w:ind w:left="454" w:hanging="454"/>
      <w:outlineLvl w:val="1"/>
    </w:pPr>
    <w:rPr>
      <w:rFonts w:asciiTheme="minorHAnsi" w:eastAsiaTheme="majorEastAsia" w:hAnsiTheme="minorHAnsi" w:cstheme="minorHAnsi"/>
      <w:color w:val="1F4E79" w:themeColor="accent5" w:themeShade="80"/>
      <w:sz w:val="28"/>
      <w:szCs w:val="26"/>
    </w:rPr>
  </w:style>
  <w:style w:type="paragraph" w:styleId="Heading3">
    <w:name w:val="heading 3"/>
    <w:basedOn w:val="Heading4"/>
    <w:next w:val="Normal"/>
    <w:link w:val="Heading3Char"/>
    <w:uiPriority w:val="9"/>
    <w:unhideWhenUsed/>
    <w:qFormat/>
    <w:rsid w:val="00A23C8A"/>
    <w:pPr>
      <w:keepNext/>
      <w:spacing w:before="240" w:after="120"/>
      <w:outlineLvl w:val="2"/>
    </w:pPr>
    <w:rPr>
      <w:sz w:val="24"/>
    </w:rPr>
  </w:style>
  <w:style w:type="paragraph" w:styleId="Heading4">
    <w:name w:val="heading 4"/>
    <w:basedOn w:val="Normal"/>
    <w:next w:val="Normal"/>
    <w:link w:val="Heading4Char"/>
    <w:uiPriority w:val="9"/>
    <w:unhideWhenUsed/>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customStyle="1" w:styleId="Heading2Char">
    <w:name w:val="Heading 2 Char"/>
    <w:basedOn w:val="DefaultParagraphFont"/>
    <w:link w:val="Heading2"/>
    <w:uiPriority w:val="9"/>
    <w:rsid w:val="00A23C8A"/>
    <w:rPr>
      <w:rFonts w:asciiTheme="minorHAnsi" w:eastAsiaTheme="majorEastAsia" w:hAnsiTheme="minorHAnsi" w:cstheme="minorHAnsi"/>
      <w:color w:val="1F4E79" w:themeColor="accent5" w:themeShade="80"/>
      <w:sz w:val="28"/>
      <w:szCs w:val="26"/>
    </w:rPr>
  </w:style>
  <w:style w:type="character" w:customStyle="1" w:styleId="Heading3Char">
    <w:name w:val="Heading 3 Char"/>
    <w:basedOn w:val="DefaultParagraphFont"/>
    <w:link w:val="Heading3"/>
    <w:uiPriority w:val="9"/>
    <w:rsid w:val="00A23C8A"/>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A23C8A"/>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A23C8A"/>
    <w:pPr>
      <w:numPr>
        <w:numId w:val="6"/>
      </w:numPr>
      <w:spacing w:before="120" w:after="0"/>
      <w:ind w:left="714" w:hanging="357"/>
    </w:pPr>
  </w:style>
  <w:style w:type="character" w:customStyle="1" w:styleId="ListParagraphChar">
    <w:name w:val="List Paragraph Char"/>
    <w:basedOn w:val="DefaultParagraphFont"/>
    <w:link w:val="ListParagraph"/>
    <w:uiPriority w:val="34"/>
    <w:rsid w:val="00A23C8A"/>
    <w:rPr>
      <w:rFonts w:cs="Times New Roman"/>
    </w:rPr>
  </w:style>
  <w:style w:type="character" w:customStyle="1" w:styleId="BulletsChar">
    <w:name w:val="Bullets Char"/>
    <w:basedOn w:val="ListParagraphChar"/>
    <w:link w:val="Bullets"/>
    <w:rsid w:val="00A23C8A"/>
    <w:rPr>
      <w:rFonts w:cs="Times New Roman"/>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B62BEA"/>
    <w:rPr>
      <w:rFonts w:eastAsia="Times New Roman" w:cs="Times"/>
      <w:b/>
      <w:color w:val="1F4E79" w:themeColor="accent5" w:themeShade="80"/>
      <w:sz w:val="36"/>
    </w:rPr>
  </w:style>
  <w:style w:type="paragraph" w:customStyle="1" w:styleId="Numbers">
    <w:name w:val="Numbers"/>
    <w:basedOn w:val="ListParagraph"/>
    <w:link w:val="NumbersChar"/>
    <w:qFormat/>
    <w:rsid w:val="00A23C8A"/>
    <w:pPr>
      <w:spacing w:before="120" w:after="0"/>
    </w:pPr>
    <w:rPr>
      <w:szCs w:val="24"/>
    </w:rPr>
  </w:style>
  <w:style w:type="character" w:customStyle="1" w:styleId="NumbersChar">
    <w:name w:val="Numbers Char"/>
    <w:basedOn w:val="ListParagraphChar"/>
    <w:link w:val="Numbers"/>
    <w:rsid w:val="00A23C8A"/>
    <w:rPr>
      <w:rFonts w:cs="Times New Roman"/>
      <w:szCs w:val="24"/>
    </w:rPr>
  </w:style>
  <w:style w:type="table" w:styleId="GridTable2-Accent1">
    <w:name w:val="Grid Table 2 Accent 1"/>
    <w:basedOn w:val="TableNormal"/>
    <w:uiPriority w:val="47"/>
    <w:rsid w:val="00A23C8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C8A"/>
    <w:rPr>
      <w:color w:val="0563C1" w:themeColor="hyperlink"/>
      <w:u w:val="single"/>
    </w:rPr>
  </w:style>
  <w:style w:type="character" w:styleId="UnresolvedMention">
    <w:name w:val="Unresolved Mention"/>
    <w:basedOn w:val="DefaultParagraphFont"/>
    <w:uiPriority w:val="99"/>
    <w:semiHidden/>
    <w:unhideWhenUsed/>
    <w:rsid w:val="00A2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ad.ie/files/download/NCAD_Grade_Descriptors.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7lZAKCsQ/+1Di4oWUA9XL6ZFA==">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5444</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VC2-2 Histories of Art and Design - Varieties of Modernism ModDesc</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VC2-2 Histories of Art and Design 2 - Varieties of Modernism ModDesc</dc:title>
  <dc:subject>VC2-2 Histories of Art and Design 2 - Varieties of Modernism ModDesc</dc:subject>
  <dc:creator>David Crowley;Kilian O'Callaghan</dc:creator>
  <cp:keywords>2022;Module Descriptor;Visual Culture</cp:keywords>
  <cp:lastModifiedBy>Microsoft Office User</cp:lastModifiedBy>
  <cp:revision>3</cp:revision>
  <cp:lastPrinted>2022-11-25T12:07:00Z</cp:lastPrinted>
  <dcterms:created xsi:type="dcterms:W3CDTF">2023-10-15T12:26:00Z</dcterms:created>
  <dcterms:modified xsi:type="dcterms:W3CDTF">2023-10-15T12:26:00Z</dcterms:modified>
</cp:coreProperties>
</file>