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9FFE" w14:textId="77777777" w:rsidR="005869CF" w:rsidRPr="00B62CDA" w:rsidRDefault="00A00EA4" w:rsidP="00B62CDA">
      <w:pPr>
        <w:pStyle w:val="Heading1"/>
        <w:keepNext w:val="0"/>
        <w:keepLines w:val="0"/>
        <w:spacing w:before="0" w:after="0"/>
        <w:jc w:val="center"/>
        <w:rPr>
          <w:rFonts w:eastAsia="Times New Roman" w:cs="Times"/>
          <w:color w:val="1F3864" w:themeColor="accent5" w:themeShade="80"/>
          <w:sz w:val="36"/>
          <w:szCs w:val="22"/>
        </w:rPr>
      </w:pPr>
      <w:r w:rsidRPr="00B62CDA">
        <w:rPr>
          <w:rFonts w:eastAsia="Times New Roman" w:cs="Times"/>
          <w:color w:val="1F3864" w:themeColor="accent5" w:themeShade="80"/>
          <w:sz w:val="36"/>
          <w:szCs w:val="22"/>
        </w:rPr>
        <w:t>Professional Practice: Exhibitions</w:t>
      </w:r>
    </w:p>
    <w:p w14:paraId="76EB956F" w14:textId="77777777" w:rsidR="005869CF" w:rsidRPr="00B62CDA" w:rsidRDefault="00A00EA4" w:rsidP="00B62CDA">
      <w:pPr>
        <w:pStyle w:val="Heading1"/>
        <w:keepNext w:val="0"/>
        <w:keepLines w:val="0"/>
        <w:spacing w:before="0" w:after="0"/>
        <w:jc w:val="center"/>
        <w:rPr>
          <w:rFonts w:eastAsia="Times New Roman" w:cs="Times"/>
          <w:color w:val="1F3864" w:themeColor="accent5" w:themeShade="80"/>
          <w:sz w:val="32"/>
          <w:szCs w:val="22"/>
        </w:rPr>
      </w:pPr>
      <w:r w:rsidRPr="00B62CDA">
        <w:rPr>
          <w:rFonts w:eastAsia="Times New Roman" w:cs="Times"/>
          <w:color w:val="1F3864" w:themeColor="accent5" w:themeShade="80"/>
          <w:sz w:val="32"/>
          <w:szCs w:val="22"/>
        </w:rPr>
        <w:t>VC2-10</w:t>
      </w:r>
    </w:p>
    <w:p w14:paraId="46D0AC13" w14:textId="77777777" w:rsidR="005869CF" w:rsidRPr="003A73B7" w:rsidRDefault="005869CF" w:rsidP="00B62CDA"/>
    <w:p w14:paraId="4E662C58" w14:textId="77777777" w:rsidR="005869CF" w:rsidRPr="00B62CDA" w:rsidRDefault="00A00EA4" w:rsidP="00B62CDA">
      <w:pPr>
        <w:pStyle w:val="Heading1"/>
        <w:keepNext w:val="0"/>
        <w:keepLines w:val="0"/>
        <w:spacing w:before="0" w:after="0"/>
        <w:jc w:val="center"/>
        <w:rPr>
          <w:rFonts w:eastAsia="Times New Roman" w:cs="Times"/>
          <w:color w:val="1F3864" w:themeColor="accent5" w:themeShade="80"/>
          <w:sz w:val="36"/>
          <w:szCs w:val="22"/>
        </w:rPr>
      </w:pPr>
      <w:r w:rsidRPr="00B62CDA">
        <w:rPr>
          <w:rFonts w:eastAsia="Times New Roman" w:cs="Times"/>
          <w:color w:val="1F3864" w:themeColor="accent5" w:themeShade="80"/>
          <w:sz w:val="36"/>
          <w:szCs w:val="22"/>
        </w:rPr>
        <w:t>MODULE DESCRIPTOR</w:t>
      </w:r>
    </w:p>
    <w:p w14:paraId="40C004D5" w14:textId="77777777" w:rsidR="005869CF" w:rsidRPr="003A73B7" w:rsidRDefault="005869CF" w:rsidP="00275600"/>
    <w:tbl>
      <w:tblPr>
        <w:tblStyle w:val="a"/>
        <w:tblW w:w="902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200" w:firstRow="0" w:lastRow="0" w:firstColumn="0" w:lastColumn="0" w:noHBand="1" w:noVBand="0"/>
      </w:tblPr>
      <w:tblGrid>
        <w:gridCol w:w="1496"/>
        <w:gridCol w:w="985"/>
        <w:gridCol w:w="2363"/>
        <w:gridCol w:w="4182"/>
      </w:tblGrid>
      <w:tr w:rsidR="005869CF" w:rsidRPr="00B62CDA" w14:paraId="27E5F402" w14:textId="77777777" w:rsidTr="00275600">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2186498E" w14:textId="6221BED5" w:rsidR="005869CF" w:rsidRPr="00B62CDA" w:rsidRDefault="00A00EA4">
            <w:pPr>
              <w:pStyle w:val="Heading4"/>
              <w:outlineLvl w:val="3"/>
            </w:pPr>
            <w:r w:rsidRPr="00B62CDA">
              <w:t>ECTS credits</w:t>
            </w:r>
            <w:r w:rsidR="000955CE" w:rsidRPr="00B62CDA">
              <w:rPr>
                <w:vertAlign w:val="superscript"/>
              </w:rPr>
              <w:footnoteReference w:id="1"/>
            </w:r>
          </w:p>
        </w:tc>
        <w:tc>
          <w:tcPr>
            <w:tcW w:w="985" w:type="dxa"/>
          </w:tcPr>
          <w:p w14:paraId="37C08ED3" w14:textId="77777777" w:rsidR="005869CF" w:rsidRPr="00B62CDA" w:rsidRDefault="00A00EA4">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10</w:t>
            </w:r>
          </w:p>
        </w:tc>
        <w:tc>
          <w:tcPr>
            <w:cnfStyle w:val="000010000000" w:firstRow="0" w:lastRow="0" w:firstColumn="0" w:lastColumn="0" w:oddVBand="1" w:evenVBand="0" w:oddHBand="0" w:evenHBand="0" w:firstRowFirstColumn="0" w:firstRowLastColumn="0" w:lastRowFirstColumn="0" w:lastRowLastColumn="0"/>
            <w:tcW w:w="2363" w:type="dxa"/>
          </w:tcPr>
          <w:p w14:paraId="7133FE01" w14:textId="77777777" w:rsidR="005869CF" w:rsidRPr="00B62CDA" w:rsidRDefault="00A00EA4">
            <w:pPr>
              <w:pStyle w:val="Heading4"/>
              <w:outlineLvl w:val="3"/>
            </w:pPr>
            <w:r w:rsidRPr="00B62CDA">
              <w:t>Programme</w:t>
            </w:r>
          </w:p>
        </w:tc>
        <w:tc>
          <w:tcPr>
            <w:tcW w:w="4182" w:type="dxa"/>
          </w:tcPr>
          <w:p w14:paraId="72A465E5" w14:textId="6CBBD419" w:rsidR="005869CF" w:rsidRPr="00B62CDA" w:rsidRDefault="00A00E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BA Visual Culture</w:t>
            </w:r>
          </w:p>
        </w:tc>
      </w:tr>
      <w:tr w:rsidR="005869CF" w:rsidRPr="00B62CDA" w14:paraId="36A301D8" w14:textId="77777777" w:rsidTr="00275600">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3BCEC745" w14:textId="77777777" w:rsidR="005869CF" w:rsidRPr="00B62CDA" w:rsidRDefault="00A00EA4">
            <w:pPr>
              <w:pStyle w:val="Heading4"/>
              <w:outlineLvl w:val="3"/>
            </w:pPr>
            <w:r w:rsidRPr="00B62CDA">
              <w:t>NQF level</w:t>
            </w:r>
          </w:p>
        </w:tc>
        <w:tc>
          <w:tcPr>
            <w:tcW w:w="985" w:type="dxa"/>
          </w:tcPr>
          <w:p w14:paraId="06BF740B" w14:textId="77777777" w:rsidR="005869CF" w:rsidRPr="00B62CDA" w:rsidRDefault="00A00E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8</w:t>
            </w:r>
          </w:p>
        </w:tc>
        <w:tc>
          <w:tcPr>
            <w:cnfStyle w:val="000010000000" w:firstRow="0" w:lastRow="0" w:firstColumn="0" w:lastColumn="0" w:oddVBand="1" w:evenVBand="0" w:oddHBand="0" w:evenHBand="0" w:firstRowFirstColumn="0" w:firstRowLastColumn="0" w:lastRowFirstColumn="0" w:lastRowLastColumn="0"/>
            <w:tcW w:w="2363" w:type="dxa"/>
          </w:tcPr>
          <w:p w14:paraId="79D37287" w14:textId="77777777" w:rsidR="005869CF" w:rsidRPr="00B62CDA" w:rsidRDefault="00A00EA4">
            <w:pPr>
              <w:pStyle w:val="Heading4"/>
              <w:outlineLvl w:val="3"/>
            </w:pPr>
            <w:r w:rsidRPr="00B62CDA">
              <w:t>School</w:t>
            </w:r>
          </w:p>
        </w:tc>
        <w:tc>
          <w:tcPr>
            <w:tcW w:w="4182" w:type="dxa"/>
          </w:tcPr>
          <w:p w14:paraId="3FDDAF83" w14:textId="77777777" w:rsidR="005869CF" w:rsidRPr="00B62CDA" w:rsidRDefault="00A00E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School of Visual Culture</w:t>
            </w:r>
          </w:p>
        </w:tc>
      </w:tr>
      <w:tr w:rsidR="005869CF" w:rsidRPr="00B62CDA" w14:paraId="6A91308E" w14:textId="77777777" w:rsidTr="00275600">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268A795D" w14:textId="77777777" w:rsidR="005869CF" w:rsidRPr="00B62CDA" w:rsidRDefault="00A00EA4">
            <w:pPr>
              <w:pStyle w:val="Heading4"/>
              <w:outlineLvl w:val="3"/>
            </w:pPr>
            <w:r w:rsidRPr="00B62CDA">
              <w:t>Stage</w:t>
            </w:r>
          </w:p>
        </w:tc>
        <w:tc>
          <w:tcPr>
            <w:tcW w:w="985" w:type="dxa"/>
          </w:tcPr>
          <w:p w14:paraId="295E999C" w14:textId="77777777" w:rsidR="005869CF" w:rsidRPr="00B62CDA" w:rsidRDefault="00A00E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2</w:t>
            </w:r>
          </w:p>
        </w:tc>
        <w:tc>
          <w:tcPr>
            <w:cnfStyle w:val="000010000000" w:firstRow="0" w:lastRow="0" w:firstColumn="0" w:lastColumn="0" w:oddVBand="1" w:evenVBand="0" w:oddHBand="0" w:evenHBand="0" w:firstRowFirstColumn="0" w:firstRowLastColumn="0" w:lastRowFirstColumn="0" w:lastRowLastColumn="0"/>
            <w:tcW w:w="2363" w:type="dxa"/>
          </w:tcPr>
          <w:p w14:paraId="2D37D1AF" w14:textId="77777777" w:rsidR="005869CF" w:rsidRPr="00B62CDA" w:rsidRDefault="00A00EA4">
            <w:pPr>
              <w:pStyle w:val="Heading4"/>
              <w:outlineLvl w:val="3"/>
            </w:pPr>
            <w:r w:rsidRPr="00B62CDA">
              <w:t>Module Co-ordinator</w:t>
            </w:r>
          </w:p>
        </w:tc>
        <w:tc>
          <w:tcPr>
            <w:tcW w:w="4182" w:type="dxa"/>
          </w:tcPr>
          <w:p w14:paraId="51740283" w14:textId="77777777" w:rsidR="005869CF" w:rsidRPr="00B62CDA" w:rsidRDefault="00A00EA4">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Emma Mahony</w:t>
            </w:r>
          </w:p>
        </w:tc>
      </w:tr>
      <w:tr w:rsidR="005869CF" w:rsidRPr="00B62CDA" w14:paraId="05D436ED" w14:textId="77777777" w:rsidTr="00275600">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5F00B70A" w14:textId="77777777" w:rsidR="005869CF" w:rsidRPr="00B62CDA" w:rsidRDefault="00A00EA4">
            <w:pPr>
              <w:pStyle w:val="Heading4"/>
              <w:outlineLvl w:val="3"/>
            </w:pPr>
            <w:r w:rsidRPr="00B62CDA">
              <w:t>Trimester</w:t>
            </w:r>
          </w:p>
        </w:tc>
        <w:tc>
          <w:tcPr>
            <w:tcW w:w="985" w:type="dxa"/>
          </w:tcPr>
          <w:p w14:paraId="397AD359" w14:textId="77777777" w:rsidR="005869CF" w:rsidRPr="00B62CDA" w:rsidRDefault="00A00E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2</w:t>
            </w:r>
          </w:p>
        </w:tc>
        <w:tc>
          <w:tcPr>
            <w:cnfStyle w:val="000010000000" w:firstRow="0" w:lastRow="0" w:firstColumn="0" w:lastColumn="0" w:oddVBand="1" w:evenVBand="0" w:oddHBand="0" w:evenHBand="0" w:firstRowFirstColumn="0" w:firstRowLastColumn="0" w:lastRowFirstColumn="0" w:lastRowLastColumn="0"/>
            <w:tcW w:w="2363" w:type="dxa"/>
          </w:tcPr>
          <w:p w14:paraId="380AD992" w14:textId="77777777" w:rsidR="005869CF" w:rsidRPr="00B62CDA" w:rsidRDefault="00A00EA4">
            <w:pPr>
              <w:pStyle w:val="Heading4"/>
              <w:outlineLvl w:val="3"/>
            </w:pPr>
            <w:r w:rsidRPr="00B62CDA">
              <w:t>Module Team</w:t>
            </w:r>
          </w:p>
        </w:tc>
        <w:tc>
          <w:tcPr>
            <w:tcW w:w="4182" w:type="dxa"/>
          </w:tcPr>
          <w:p w14:paraId="13498085" w14:textId="77777777" w:rsidR="005869CF" w:rsidRPr="00B62CDA" w:rsidRDefault="00A00EA4">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Emma Mahony</w:t>
            </w:r>
          </w:p>
        </w:tc>
      </w:tr>
      <w:tr w:rsidR="005869CF" w:rsidRPr="00B62CDA" w14:paraId="2E19D5BF" w14:textId="77777777" w:rsidTr="00275600">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394BD5F3" w14:textId="77777777" w:rsidR="005869CF" w:rsidRPr="00B62CDA" w:rsidRDefault="00A00EA4">
            <w:pPr>
              <w:pStyle w:val="Heading4"/>
              <w:outlineLvl w:val="3"/>
            </w:pPr>
            <w:r w:rsidRPr="00B62CDA">
              <w:t>Contact</w:t>
            </w:r>
          </w:p>
        </w:tc>
        <w:tc>
          <w:tcPr>
            <w:tcW w:w="7530" w:type="dxa"/>
            <w:gridSpan w:val="3"/>
          </w:tcPr>
          <w:p w14:paraId="2D5B996E" w14:textId="77777777" w:rsidR="005869CF" w:rsidRPr="00B62CDA" w:rsidRDefault="00A00E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B62CDA">
              <w:rPr>
                <w:rFonts w:cs="Calibri"/>
                <w:color w:val="000000"/>
                <w:szCs w:val="22"/>
              </w:rPr>
              <w:t>Neasa Travers, Secretary School of Visual Culture: visualculture@staff.ncad.ie</w:t>
            </w:r>
          </w:p>
        </w:tc>
      </w:tr>
      <w:tr w:rsidR="005869CF" w:rsidRPr="00B62CDA" w14:paraId="0051F0A2" w14:textId="77777777" w:rsidTr="00275600">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3029D07D" w14:textId="77777777" w:rsidR="005869CF" w:rsidRPr="00B62CDA" w:rsidRDefault="00A00EA4">
            <w:pPr>
              <w:pStyle w:val="Heading4"/>
              <w:outlineLvl w:val="3"/>
            </w:pPr>
            <w:r w:rsidRPr="00B62CDA">
              <w:t>Responsibility</w:t>
            </w:r>
          </w:p>
        </w:tc>
        <w:tc>
          <w:tcPr>
            <w:tcW w:w="7530" w:type="dxa"/>
            <w:gridSpan w:val="3"/>
          </w:tcPr>
          <w:p w14:paraId="4F30058E" w14:textId="0EB9279F" w:rsidR="005869CF" w:rsidRPr="00B62CDA" w:rsidRDefault="00275600">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The </w:t>
            </w:r>
            <w:r w:rsidR="00A00EA4" w:rsidRPr="00B62CDA">
              <w:rPr>
                <w:rFonts w:cs="Calibri"/>
                <w:color w:val="000000"/>
                <w:szCs w:val="22"/>
              </w:rPr>
              <w:t xml:space="preserve">NCAD Academic Council </w:t>
            </w:r>
            <w:r>
              <w:rPr>
                <w:rFonts w:cs="Calibri"/>
                <w:color w:val="000000"/>
                <w:szCs w:val="22"/>
              </w:rPr>
              <w:t>and the</w:t>
            </w:r>
            <w:r w:rsidR="00A00EA4" w:rsidRPr="00B62CDA">
              <w:rPr>
                <w:rFonts w:cs="Calibri"/>
                <w:color w:val="000000"/>
                <w:szCs w:val="22"/>
              </w:rPr>
              <w:t xml:space="preserve"> School of Visual Culture</w:t>
            </w:r>
            <w:r>
              <w:rPr>
                <w:rFonts w:cs="Calibri"/>
                <w:color w:val="000000"/>
                <w:szCs w:val="22"/>
              </w:rPr>
              <w:t xml:space="preserve"> Board are responsible for this module.</w:t>
            </w:r>
          </w:p>
        </w:tc>
      </w:tr>
    </w:tbl>
    <w:p w14:paraId="512B55B4" w14:textId="77777777" w:rsidR="00B62CDA" w:rsidRPr="00275600" w:rsidRDefault="00B62CDA" w:rsidP="00275600">
      <w:pPr>
        <w:pStyle w:val="Heading2"/>
      </w:pPr>
      <w:r w:rsidRPr="00275600">
        <w:t>Introduction</w:t>
      </w:r>
    </w:p>
    <w:p w14:paraId="0683AD6A" w14:textId="77777777" w:rsidR="00B62CDA" w:rsidRPr="00B62CDA" w:rsidRDefault="00B62CDA" w:rsidP="00B62CDA">
      <w:pPr>
        <w:pStyle w:val="ListParagraph"/>
      </w:pPr>
      <w:r w:rsidRPr="00B62CDA">
        <w:t>The aim of this module is to support students in developing an understanding of a key field of Visual Culture practice – the exhibition – prior to key modules such as the ‘placement’ in trimester 2 of final year.</w:t>
      </w:r>
    </w:p>
    <w:p w14:paraId="1B49FA26" w14:textId="3B52DF6D" w:rsidR="00B62CDA" w:rsidRPr="00B62CDA" w:rsidRDefault="00B62CDA" w:rsidP="00B62CDA">
      <w:pPr>
        <w:pStyle w:val="ListParagraph"/>
      </w:pPr>
      <w:r w:rsidRPr="00B62CDA">
        <w:t>Students will propose a project – in consultation with module staff – that culminates in a portfolio of writing and a visual display for a thematic exhibition.</w:t>
      </w:r>
      <w:r>
        <w:t xml:space="preserve"> </w:t>
      </w:r>
      <w:r w:rsidRPr="00B62CDA">
        <w:t xml:space="preserve"> The display may be realised or it might take the form of a worked-up and detailed proposal.</w:t>
      </w:r>
      <w:r>
        <w:t xml:space="preserve"> </w:t>
      </w:r>
      <w:r w:rsidRPr="00B62CDA">
        <w:t xml:space="preserve"> Through seminar workshops and lecture sessions they will work towards developing an appropriate plan for the realization of this real or fictional project. </w:t>
      </w:r>
      <w:r>
        <w:t xml:space="preserve"> </w:t>
      </w:r>
      <w:r w:rsidRPr="00B62CDA">
        <w:t xml:space="preserve">Where appropriate, students will be given some practical training in software such as Sketch-up. </w:t>
      </w:r>
      <w:r>
        <w:t xml:space="preserve"> </w:t>
      </w:r>
      <w:r w:rsidRPr="00B62CDA">
        <w:t>Students will need to take account of questions relating to processes of production, display and distribution, considering the theoretical and ideological issues raised by their project plan, in addition to considering how their project might meet accepted professional standards and relating to existing models in the field.</w:t>
      </w:r>
    </w:p>
    <w:p w14:paraId="476C9FEE" w14:textId="7300929C" w:rsidR="00F30A9D" w:rsidRDefault="00B62CDA" w:rsidP="00B62CDA">
      <w:pPr>
        <w:pStyle w:val="ListParagraph"/>
      </w:pPr>
      <w:r w:rsidRPr="00B62CDA">
        <w:t>Live case studies will be pre</w:t>
      </w:r>
      <w:r w:rsidRPr="00F30A9D">
        <w:rPr>
          <w:rFonts w:cs="Calibri"/>
          <w:szCs w:val="22"/>
        </w:rPr>
        <w:t xml:space="preserve">sented by guests tutors on the programme with experience of </w:t>
      </w:r>
      <w:r w:rsidR="00F30A9D" w:rsidRPr="00F30A9D">
        <w:rPr>
          <w:rFonts w:cs="Calibri"/>
          <w:color w:val="000000"/>
          <w:szCs w:val="22"/>
          <w:lang w:val="en-US"/>
        </w:rPr>
        <w:t>Museum professionals in the fields of curating; exhibition planning and management; engagement and learning; dissemination and interpretation; and marketing.”</w:t>
      </w:r>
    </w:p>
    <w:p w14:paraId="14CB745B" w14:textId="77777777" w:rsidR="00F30A9D" w:rsidRDefault="00F30A9D" w:rsidP="00B62CDA">
      <w:pPr>
        <w:pStyle w:val="ListParagraph"/>
      </w:pPr>
    </w:p>
    <w:p w14:paraId="37665197" w14:textId="2D403F5C" w:rsidR="00B62CDA" w:rsidRPr="003A73B7" w:rsidRDefault="00B62CDA" w:rsidP="00B62CDA">
      <w:pPr>
        <w:pStyle w:val="ListParagraph"/>
      </w:pPr>
      <w:r w:rsidRPr="003A73B7">
        <w:t>The aims of this module are:</w:t>
      </w:r>
    </w:p>
    <w:p w14:paraId="6B54DBB4" w14:textId="77777777" w:rsidR="00B62CDA" w:rsidRPr="00B62CDA" w:rsidRDefault="00B62CDA" w:rsidP="00B62CDA">
      <w:pPr>
        <w:pStyle w:val="Bullets"/>
        <w:numPr>
          <w:ilvl w:val="0"/>
          <w:numId w:val="2"/>
        </w:numPr>
        <w:rPr>
          <w:szCs w:val="22"/>
        </w:rPr>
      </w:pPr>
      <w:r w:rsidRPr="00B62CDA">
        <w:rPr>
          <w:szCs w:val="22"/>
        </w:rPr>
        <w:t>To provide an opportunity for students to test their ideas about the potential of exhibition as the form of intellectual enquiry;</w:t>
      </w:r>
    </w:p>
    <w:p w14:paraId="317D7E07" w14:textId="77777777" w:rsidR="00B62CDA" w:rsidRPr="00B62CDA" w:rsidRDefault="00B62CDA" w:rsidP="00B62CDA">
      <w:pPr>
        <w:pStyle w:val="Bullets"/>
        <w:numPr>
          <w:ilvl w:val="0"/>
          <w:numId w:val="2"/>
        </w:numPr>
        <w:rPr>
          <w:szCs w:val="22"/>
        </w:rPr>
      </w:pPr>
      <w:r w:rsidRPr="00B62CDA">
        <w:rPr>
          <w:szCs w:val="22"/>
        </w:rPr>
        <w:t xml:space="preserve">To develop and test forms of textual expression in the context of an exhibition </w:t>
      </w:r>
    </w:p>
    <w:p w14:paraId="13ABB0E6" w14:textId="77777777" w:rsidR="00B62CDA" w:rsidRPr="003A73B7" w:rsidRDefault="00B62CDA" w:rsidP="00275600">
      <w:pPr>
        <w:pStyle w:val="Heading2"/>
      </w:pPr>
      <w:r w:rsidRPr="003A73B7">
        <w:t>What will I learn?</w:t>
      </w:r>
    </w:p>
    <w:p w14:paraId="3CAE31A9" w14:textId="77777777" w:rsidR="00B62CDA" w:rsidRPr="003A73B7" w:rsidRDefault="00B62CDA" w:rsidP="000C6DC2">
      <w:pPr>
        <w:pStyle w:val="ListParagraph"/>
      </w:pPr>
      <w:r w:rsidRPr="003A73B7">
        <w:t>On successful completion of this module students will be able to:</w:t>
      </w:r>
    </w:p>
    <w:p w14:paraId="01B3EC87" w14:textId="77777777" w:rsidR="00B62CDA" w:rsidRPr="00B62CDA" w:rsidRDefault="00B62CDA" w:rsidP="00B62CDA">
      <w:pPr>
        <w:pStyle w:val="Bullets"/>
        <w:numPr>
          <w:ilvl w:val="0"/>
          <w:numId w:val="4"/>
        </w:numPr>
        <w:rPr>
          <w:szCs w:val="22"/>
        </w:rPr>
      </w:pPr>
      <w:r w:rsidRPr="00B62CDA">
        <w:rPr>
          <w:szCs w:val="22"/>
        </w:rPr>
        <w:lastRenderedPageBreak/>
        <w:t>RESEARCH: Develop a specific project relating to real-world professional practice contexts.</w:t>
      </w:r>
    </w:p>
    <w:p w14:paraId="6E859922" w14:textId="77777777" w:rsidR="00B62CDA" w:rsidRPr="00B62CDA" w:rsidRDefault="00B62CDA" w:rsidP="00B62CDA">
      <w:pPr>
        <w:pStyle w:val="Bullets"/>
        <w:numPr>
          <w:ilvl w:val="0"/>
          <w:numId w:val="4"/>
        </w:numPr>
        <w:rPr>
          <w:szCs w:val="22"/>
        </w:rPr>
      </w:pPr>
      <w:r w:rsidRPr="00B62CDA">
        <w:rPr>
          <w:szCs w:val="22"/>
        </w:rPr>
        <w:t>RESEARCH: Establish how to develop appropriate models of professional organisation and distribution for this specific project.</w:t>
      </w:r>
    </w:p>
    <w:p w14:paraId="16509FFF" w14:textId="77777777" w:rsidR="00B62CDA" w:rsidRPr="00B62CDA" w:rsidRDefault="00B62CDA" w:rsidP="00B62CDA">
      <w:pPr>
        <w:pStyle w:val="Bullets"/>
        <w:numPr>
          <w:ilvl w:val="0"/>
          <w:numId w:val="4"/>
        </w:numPr>
        <w:rPr>
          <w:szCs w:val="22"/>
        </w:rPr>
      </w:pPr>
      <w:r w:rsidRPr="00B62CDA">
        <w:rPr>
          <w:szCs w:val="22"/>
        </w:rPr>
        <w:t>ANALYSE: Reflect on the efficacy of specifically applied models of practice in relation to a self-generated project plan.</w:t>
      </w:r>
    </w:p>
    <w:p w14:paraId="2E16C0BF" w14:textId="77777777" w:rsidR="00B62CDA" w:rsidRPr="00B62CDA" w:rsidRDefault="00B62CDA" w:rsidP="00B62CDA">
      <w:pPr>
        <w:pStyle w:val="Bullets"/>
        <w:numPr>
          <w:ilvl w:val="0"/>
          <w:numId w:val="4"/>
        </w:numPr>
        <w:rPr>
          <w:szCs w:val="22"/>
        </w:rPr>
      </w:pPr>
      <w:r w:rsidRPr="00B62CDA">
        <w:rPr>
          <w:szCs w:val="22"/>
        </w:rPr>
        <w:t>COMMUNICATE: Apply appropriate forms of writing and visual display in the framing and promotion of the project.</w:t>
      </w:r>
    </w:p>
    <w:p w14:paraId="39ED2153" w14:textId="77777777" w:rsidR="00B62CDA" w:rsidRPr="00B62CDA" w:rsidRDefault="00B62CDA" w:rsidP="00B62CDA">
      <w:pPr>
        <w:pStyle w:val="Bullets"/>
        <w:numPr>
          <w:ilvl w:val="0"/>
          <w:numId w:val="4"/>
        </w:numPr>
        <w:rPr>
          <w:szCs w:val="22"/>
        </w:rPr>
      </w:pPr>
      <w:r w:rsidRPr="00B62CDA">
        <w:rPr>
          <w:szCs w:val="22"/>
        </w:rPr>
        <w:t>ORGANISE: Document the selection and use of appropriate resources and co-ordinate these to a professional standard in the real or theoretical realisation of the project.</w:t>
      </w:r>
    </w:p>
    <w:p w14:paraId="54ABB2AC" w14:textId="77777777" w:rsidR="00B62CDA" w:rsidRPr="003A73B7" w:rsidRDefault="00B62CDA" w:rsidP="00275600">
      <w:pPr>
        <w:pStyle w:val="Heading2"/>
        <w:rPr>
          <w:u w:val="single"/>
        </w:rPr>
      </w:pPr>
      <w:r w:rsidRPr="003A73B7">
        <w:t>How will I learn?</w:t>
      </w:r>
    </w:p>
    <w:tbl>
      <w:tblPr>
        <w:tblStyle w:val="GridTable1Light-Accent1"/>
        <w:tblW w:w="4814" w:type="dxa"/>
        <w:tblLayout w:type="fixed"/>
        <w:tblLook w:val="0660" w:firstRow="1" w:lastRow="1" w:firstColumn="0" w:lastColumn="0" w:noHBand="1" w:noVBand="1"/>
      </w:tblPr>
      <w:tblGrid>
        <w:gridCol w:w="3397"/>
        <w:gridCol w:w="1417"/>
      </w:tblGrid>
      <w:tr w:rsidR="005869CF" w:rsidRPr="000C6DC2" w14:paraId="4E46C45A" w14:textId="77777777" w:rsidTr="000C6DC2">
        <w:trPr>
          <w:cnfStyle w:val="100000000000" w:firstRow="1" w:lastRow="0" w:firstColumn="0" w:lastColumn="0" w:oddVBand="0" w:evenVBand="0" w:oddHBand="0" w:evenHBand="0" w:firstRowFirstColumn="0" w:firstRowLastColumn="0" w:lastRowFirstColumn="0" w:lastRowLastColumn="0"/>
          <w:trHeight w:val="284"/>
        </w:trPr>
        <w:tc>
          <w:tcPr>
            <w:tcW w:w="3397" w:type="dxa"/>
          </w:tcPr>
          <w:p w14:paraId="455971BA" w14:textId="38CD4557" w:rsidR="005869CF" w:rsidRPr="000C6DC2" w:rsidRDefault="00B62CDA">
            <w:pPr>
              <w:rPr>
                <w:rFonts w:cs="Calibri"/>
                <w:color w:val="000000"/>
                <w:szCs w:val="20"/>
              </w:rPr>
            </w:pPr>
            <w:r w:rsidRPr="000C6DC2">
              <w:rPr>
                <w:rFonts w:cs="Calibri"/>
                <w:color w:val="000000"/>
                <w:szCs w:val="20"/>
              </w:rPr>
              <w:t>Learning tools</w:t>
            </w:r>
          </w:p>
        </w:tc>
        <w:tc>
          <w:tcPr>
            <w:tcW w:w="1417" w:type="dxa"/>
          </w:tcPr>
          <w:p w14:paraId="136CC178" w14:textId="77777777" w:rsidR="005869CF" w:rsidRPr="000C6DC2" w:rsidRDefault="00A00EA4">
            <w:pPr>
              <w:pBdr>
                <w:top w:val="nil"/>
                <w:left w:val="nil"/>
                <w:bottom w:val="nil"/>
                <w:right w:val="nil"/>
                <w:between w:val="nil"/>
              </w:pBdr>
              <w:rPr>
                <w:rFonts w:cs="Calibri"/>
                <w:color w:val="000000"/>
                <w:szCs w:val="20"/>
              </w:rPr>
            </w:pPr>
            <w:r w:rsidRPr="000C6DC2">
              <w:rPr>
                <w:rFonts w:cs="Calibri"/>
                <w:color w:val="000000"/>
                <w:szCs w:val="20"/>
              </w:rPr>
              <w:t>Hours</w:t>
            </w:r>
          </w:p>
        </w:tc>
      </w:tr>
      <w:tr w:rsidR="005869CF" w:rsidRPr="000C6DC2" w14:paraId="641F0311" w14:textId="77777777" w:rsidTr="000C6DC2">
        <w:trPr>
          <w:trHeight w:val="284"/>
        </w:trPr>
        <w:tc>
          <w:tcPr>
            <w:tcW w:w="3397" w:type="dxa"/>
          </w:tcPr>
          <w:p w14:paraId="0BE78D89" w14:textId="77777777" w:rsidR="005869CF" w:rsidRPr="000C6DC2" w:rsidRDefault="00A00EA4">
            <w:pPr>
              <w:rPr>
                <w:rFonts w:cs="Calibri"/>
                <w:color w:val="000000"/>
                <w:szCs w:val="20"/>
              </w:rPr>
            </w:pPr>
            <w:r w:rsidRPr="000C6DC2">
              <w:rPr>
                <w:rFonts w:cs="Calibri"/>
                <w:szCs w:val="20"/>
              </w:rPr>
              <w:t xml:space="preserve">Lectures / </w:t>
            </w:r>
            <w:r w:rsidRPr="000C6DC2">
              <w:rPr>
                <w:rFonts w:cs="Calibri"/>
                <w:color w:val="000000"/>
                <w:szCs w:val="20"/>
              </w:rPr>
              <w:t>Seminars</w:t>
            </w:r>
          </w:p>
        </w:tc>
        <w:tc>
          <w:tcPr>
            <w:tcW w:w="1417" w:type="dxa"/>
          </w:tcPr>
          <w:p w14:paraId="4D2D7645" w14:textId="2B071867" w:rsidR="005869CF" w:rsidRPr="000C6DC2" w:rsidRDefault="007D40D4">
            <w:pPr>
              <w:rPr>
                <w:rFonts w:cs="Calibri"/>
                <w:color w:val="000000"/>
                <w:szCs w:val="20"/>
              </w:rPr>
            </w:pPr>
            <w:r w:rsidRPr="000C6DC2">
              <w:rPr>
                <w:rFonts w:cs="Calibri"/>
                <w:szCs w:val="20"/>
              </w:rPr>
              <w:t>3</w:t>
            </w:r>
            <w:r w:rsidR="00A00EA4" w:rsidRPr="000C6DC2">
              <w:rPr>
                <w:rFonts w:cs="Calibri"/>
                <w:szCs w:val="20"/>
              </w:rPr>
              <w:t>0</w:t>
            </w:r>
          </w:p>
        </w:tc>
      </w:tr>
      <w:tr w:rsidR="005869CF" w:rsidRPr="000C6DC2" w14:paraId="2E8C4618" w14:textId="77777777" w:rsidTr="000C6DC2">
        <w:trPr>
          <w:trHeight w:val="284"/>
        </w:trPr>
        <w:tc>
          <w:tcPr>
            <w:tcW w:w="3397" w:type="dxa"/>
          </w:tcPr>
          <w:p w14:paraId="14C58064" w14:textId="77777777" w:rsidR="005869CF" w:rsidRPr="000C6DC2" w:rsidRDefault="00A00EA4">
            <w:pPr>
              <w:rPr>
                <w:rFonts w:cs="Calibri"/>
                <w:color w:val="000000"/>
                <w:szCs w:val="20"/>
              </w:rPr>
            </w:pPr>
            <w:r w:rsidRPr="000C6DC2">
              <w:rPr>
                <w:rFonts w:cs="Calibri"/>
                <w:color w:val="000000"/>
                <w:szCs w:val="20"/>
              </w:rPr>
              <w:t>Specified Learning Activities</w:t>
            </w:r>
          </w:p>
        </w:tc>
        <w:tc>
          <w:tcPr>
            <w:tcW w:w="1417" w:type="dxa"/>
          </w:tcPr>
          <w:p w14:paraId="77DB2E4D" w14:textId="136EDECF" w:rsidR="005869CF" w:rsidRPr="000C6DC2" w:rsidRDefault="007D40D4">
            <w:pPr>
              <w:rPr>
                <w:rFonts w:cs="Calibri"/>
                <w:color w:val="000000"/>
                <w:szCs w:val="20"/>
              </w:rPr>
            </w:pPr>
            <w:r w:rsidRPr="000C6DC2">
              <w:rPr>
                <w:rFonts w:cs="Calibri"/>
                <w:szCs w:val="20"/>
              </w:rPr>
              <w:t>6</w:t>
            </w:r>
            <w:r w:rsidR="00A00EA4" w:rsidRPr="000C6DC2">
              <w:rPr>
                <w:rFonts w:cs="Calibri"/>
                <w:szCs w:val="20"/>
              </w:rPr>
              <w:t>0</w:t>
            </w:r>
          </w:p>
        </w:tc>
      </w:tr>
      <w:tr w:rsidR="005869CF" w:rsidRPr="000C6DC2" w14:paraId="333E3848" w14:textId="77777777" w:rsidTr="000C6DC2">
        <w:trPr>
          <w:trHeight w:val="284"/>
        </w:trPr>
        <w:tc>
          <w:tcPr>
            <w:tcW w:w="3397" w:type="dxa"/>
          </w:tcPr>
          <w:p w14:paraId="5669E5F4" w14:textId="77777777" w:rsidR="005869CF" w:rsidRPr="000C6DC2" w:rsidRDefault="00A00EA4">
            <w:pPr>
              <w:rPr>
                <w:rFonts w:cs="Calibri"/>
                <w:color w:val="000000"/>
                <w:szCs w:val="20"/>
              </w:rPr>
            </w:pPr>
            <w:r w:rsidRPr="000C6DC2">
              <w:rPr>
                <w:rFonts w:cs="Calibri"/>
                <w:color w:val="000000"/>
                <w:szCs w:val="20"/>
              </w:rPr>
              <w:t xml:space="preserve">Autonomous Student Learning </w:t>
            </w:r>
          </w:p>
        </w:tc>
        <w:tc>
          <w:tcPr>
            <w:tcW w:w="1417" w:type="dxa"/>
          </w:tcPr>
          <w:p w14:paraId="37A7964F" w14:textId="35C95ED5" w:rsidR="005869CF" w:rsidRPr="000C6DC2" w:rsidRDefault="00A00EA4">
            <w:pPr>
              <w:rPr>
                <w:rFonts w:cs="Calibri"/>
                <w:color w:val="000000"/>
                <w:szCs w:val="20"/>
              </w:rPr>
            </w:pPr>
            <w:r w:rsidRPr="000C6DC2">
              <w:rPr>
                <w:rFonts w:cs="Calibri"/>
                <w:szCs w:val="20"/>
              </w:rPr>
              <w:t>1</w:t>
            </w:r>
            <w:r w:rsidR="007D40D4" w:rsidRPr="000C6DC2">
              <w:rPr>
                <w:rFonts w:cs="Calibri"/>
                <w:szCs w:val="20"/>
              </w:rPr>
              <w:t>1</w:t>
            </w:r>
            <w:r w:rsidRPr="000C6DC2">
              <w:rPr>
                <w:rFonts w:cs="Calibri"/>
                <w:szCs w:val="20"/>
              </w:rPr>
              <w:t>0</w:t>
            </w:r>
          </w:p>
        </w:tc>
      </w:tr>
      <w:tr w:rsidR="005869CF" w:rsidRPr="000C6DC2" w14:paraId="6B3EAEBA" w14:textId="77777777" w:rsidTr="000C6DC2">
        <w:trPr>
          <w:cnfStyle w:val="010000000000" w:firstRow="0" w:lastRow="1" w:firstColumn="0" w:lastColumn="0" w:oddVBand="0" w:evenVBand="0" w:oddHBand="0" w:evenHBand="0" w:firstRowFirstColumn="0" w:firstRowLastColumn="0" w:lastRowFirstColumn="0" w:lastRowLastColumn="0"/>
          <w:trHeight w:val="284"/>
        </w:trPr>
        <w:tc>
          <w:tcPr>
            <w:tcW w:w="3397" w:type="dxa"/>
          </w:tcPr>
          <w:p w14:paraId="7501E4FD" w14:textId="77777777" w:rsidR="005869CF" w:rsidRPr="000C6DC2" w:rsidRDefault="00A00EA4">
            <w:pPr>
              <w:rPr>
                <w:rFonts w:cs="Calibri"/>
                <w:color w:val="000000"/>
                <w:szCs w:val="20"/>
              </w:rPr>
            </w:pPr>
            <w:r w:rsidRPr="000C6DC2">
              <w:rPr>
                <w:rFonts w:cs="Calibri"/>
                <w:color w:val="000000"/>
                <w:szCs w:val="20"/>
              </w:rPr>
              <w:t>Total Workload</w:t>
            </w:r>
          </w:p>
        </w:tc>
        <w:tc>
          <w:tcPr>
            <w:tcW w:w="1417" w:type="dxa"/>
          </w:tcPr>
          <w:p w14:paraId="64BABF02" w14:textId="77777777" w:rsidR="005869CF" w:rsidRPr="000C6DC2" w:rsidRDefault="00A00EA4">
            <w:pPr>
              <w:rPr>
                <w:rFonts w:cs="Calibri"/>
                <w:color w:val="000000"/>
                <w:szCs w:val="20"/>
              </w:rPr>
            </w:pPr>
            <w:r w:rsidRPr="000C6DC2">
              <w:rPr>
                <w:rFonts w:cs="Calibri"/>
                <w:color w:val="000000"/>
                <w:szCs w:val="20"/>
              </w:rPr>
              <w:t>200</w:t>
            </w:r>
          </w:p>
        </w:tc>
      </w:tr>
    </w:tbl>
    <w:p w14:paraId="5EC21133" w14:textId="77777777" w:rsidR="005869CF" w:rsidRPr="003A73B7" w:rsidRDefault="005869CF">
      <w:pPr>
        <w:rPr>
          <w:rFonts w:cs="Calibri"/>
          <w:color w:val="000000"/>
          <w:sz w:val="20"/>
          <w:szCs w:val="20"/>
        </w:rPr>
      </w:pPr>
    </w:p>
    <w:p w14:paraId="48D8C468" w14:textId="77777777" w:rsidR="00B62CDA" w:rsidRPr="003A73B7" w:rsidRDefault="00B62CDA" w:rsidP="00275600">
      <w:pPr>
        <w:pStyle w:val="Heading2"/>
      </w:pPr>
      <w:r w:rsidRPr="003A73B7">
        <w:t>What learning supports are provided?</w:t>
      </w:r>
    </w:p>
    <w:p w14:paraId="3EF3B4DB" w14:textId="6777303E" w:rsidR="00B62CDA" w:rsidRPr="00F30A9D" w:rsidRDefault="00B62CDA" w:rsidP="000C6DC2">
      <w:pPr>
        <w:pStyle w:val="ListParagraph"/>
        <w:rPr>
          <w:rFonts w:cs="Calibri"/>
          <w:szCs w:val="22"/>
        </w:rPr>
      </w:pPr>
      <w:r w:rsidRPr="00F30A9D">
        <w:rPr>
          <w:rFonts w:cs="Calibri"/>
          <w:szCs w:val="22"/>
        </w:rPr>
        <w:t xml:space="preserve">Students will be set a clear brief which outlines the limits and potential of the work which they will undertake in this elective. They will have opportunities to draw upon the experience and insights of </w:t>
      </w:r>
      <w:r w:rsidR="00F30A9D" w:rsidRPr="00F30A9D">
        <w:rPr>
          <w:rFonts w:cs="Calibri"/>
          <w:color w:val="000000"/>
          <w:szCs w:val="22"/>
          <w:lang w:val="en-US"/>
        </w:rPr>
        <w:t xml:space="preserve">Museum professionals in the fields of curating; exhibition planning and management; engagement and learning; dissemination and interpretation; and marketing </w:t>
      </w:r>
      <w:r w:rsidRPr="00F30A9D">
        <w:rPr>
          <w:rFonts w:cs="Calibri"/>
          <w:szCs w:val="22"/>
        </w:rPr>
        <w:t xml:space="preserve"> during the classes in this module. </w:t>
      </w:r>
    </w:p>
    <w:p w14:paraId="1DDDF68B" w14:textId="77777777" w:rsidR="000C6DC2" w:rsidRPr="003A73B7" w:rsidRDefault="000C6DC2" w:rsidP="00275600">
      <w:pPr>
        <w:pStyle w:val="Heading2"/>
        <w:rPr>
          <w:rFonts w:eastAsia="Calibri"/>
        </w:rPr>
      </w:pPr>
      <w:r w:rsidRPr="003A73B7">
        <w:rPr>
          <w:rFonts w:eastAsia="Calibri"/>
        </w:rPr>
        <w:t>Am I eligible to take this module?</w:t>
      </w:r>
    </w:p>
    <w:p w14:paraId="10585ADB" w14:textId="77777777" w:rsidR="00275600" w:rsidRPr="00275600" w:rsidRDefault="00275600" w:rsidP="00275600">
      <w:pPr>
        <w:pStyle w:val="Heading3"/>
      </w:pPr>
      <w:r w:rsidRPr="00275600">
        <w:t>Module Requisites and Incompatibles</w:t>
      </w:r>
    </w:p>
    <w:tbl>
      <w:tblPr>
        <w:tblStyle w:val="GridTable1Light-Accent1"/>
        <w:tblW w:w="9016" w:type="dxa"/>
        <w:tblLayout w:type="fixed"/>
        <w:tblLook w:val="0680" w:firstRow="0" w:lastRow="0" w:firstColumn="1" w:lastColumn="0" w:noHBand="1" w:noVBand="1"/>
      </w:tblPr>
      <w:tblGrid>
        <w:gridCol w:w="1721"/>
        <w:gridCol w:w="7295"/>
      </w:tblGrid>
      <w:tr w:rsidR="00B62CDA" w:rsidRPr="000C6DC2" w14:paraId="013AE562" w14:textId="77777777" w:rsidTr="0027560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71CA56A7" w14:textId="77777777" w:rsidR="00B62CDA" w:rsidRPr="000C6DC2" w:rsidRDefault="00B62CDA" w:rsidP="00184548">
            <w:pPr>
              <w:pStyle w:val="Heading4"/>
              <w:outlineLvl w:val="3"/>
              <w:rPr>
                <w:rFonts w:ascii="Calibri" w:hAnsi="Calibri" w:cs="Calibri"/>
                <w:b/>
                <w:color w:val="000000"/>
                <w:szCs w:val="20"/>
              </w:rPr>
            </w:pPr>
            <w:r w:rsidRPr="000C6DC2">
              <w:rPr>
                <w:rFonts w:ascii="Calibri" w:hAnsi="Calibri" w:cs="Calibri"/>
                <w:b/>
                <w:color w:val="000000"/>
                <w:szCs w:val="20"/>
              </w:rPr>
              <w:t>Pre-requisites</w:t>
            </w:r>
          </w:p>
        </w:tc>
        <w:tc>
          <w:tcPr>
            <w:tcW w:w="7295" w:type="dxa"/>
          </w:tcPr>
          <w:p w14:paraId="7A6B4B76" w14:textId="77777777" w:rsidR="00B62CDA" w:rsidRPr="000C6DC2" w:rsidRDefault="00B62CDA" w:rsidP="000C6DC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C6DC2">
              <w:rPr>
                <w:rFonts w:cs="Calibri"/>
                <w:color w:val="000000"/>
                <w:szCs w:val="20"/>
              </w:rPr>
              <w:t>None</w:t>
            </w:r>
          </w:p>
        </w:tc>
      </w:tr>
      <w:tr w:rsidR="00B62CDA" w:rsidRPr="000C6DC2" w14:paraId="66DA0FC9" w14:textId="77777777" w:rsidTr="0027560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B7E894A" w14:textId="77777777" w:rsidR="00B62CDA" w:rsidRPr="000C6DC2" w:rsidRDefault="00B62CDA" w:rsidP="00184548">
            <w:pPr>
              <w:pStyle w:val="Heading4"/>
              <w:outlineLvl w:val="3"/>
              <w:rPr>
                <w:rFonts w:ascii="Calibri" w:hAnsi="Calibri" w:cs="Calibri"/>
                <w:b/>
                <w:color w:val="000000"/>
                <w:szCs w:val="20"/>
              </w:rPr>
            </w:pPr>
            <w:r w:rsidRPr="000C6DC2">
              <w:rPr>
                <w:rFonts w:ascii="Calibri" w:hAnsi="Calibri" w:cs="Calibri"/>
                <w:b/>
                <w:color w:val="000000"/>
                <w:szCs w:val="20"/>
              </w:rPr>
              <w:t>Co-requisites</w:t>
            </w:r>
          </w:p>
        </w:tc>
        <w:tc>
          <w:tcPr>
            <w:tcW w:w="7295" w:type="dxa"/>
          </w:tcPr>
          <w:p w14:paraId="5065A790" w14:textId="77777777" w:rsidR="00B62CDA" w:rsidRPr="000C6DC2" w:rsidRDefault="00B62CDA" w:rsidP="000C6DC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C6DC2">
              <w:rPr>
                <w:rFonts w:cs="Calibri"/>
                <w:color w:val="000000"/>
                <w:szCs w:val="20"/>
              </w:rPr>
              <w:t>None</w:t>
            </w:r>
          </w:p>
        </w:tc>
      </w:tr>
      <w:tr w:rsidR="00B62CDA" w:rsidRPr="000C6DC2" w14:paraId="2EF80804" w14:textId="77777777" w:rsidTr="0027560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569C6F01" w14:textId="77777777" w:rsidR="00B62CDA" w:rsidRPr="000C6DC2" w:rsidRDefault="00B62CDA" w:rsidP="00184548">
            <w:pPr>
              <w:pStyle w:val="Heading4"/>
              <w:outlineLvl w:val="3"/>
              <w:rPr>
                <w:rFonts w:ascii="Calibri" w:hAnsi="Calibri" w:cs="Calibri"/>
                <w:b/>
                <w:color w:val="000000"/>
                <w:szCs w:val="20"/>
              </w:rPr>
            </w:pPr>
            <w:r w:rsidRPr="000C6DC2">
              <w:rPr>
                <w:rFonts w:ascii="Calibri" w:hAnsi="Calibri" w:cs="Calibri"/>
                <w:b/>
                <w:color w:val="000000"/>
                <w:szCs w:val="20"/>
              </w:rPr>
              <w:t>Incompatibles</w:t>
            </w:r>
          </w:p>
        </w:tc>
        <w:tc>
          <w:tcPr>
            <w:tcW w:w="7295" w:type="dxa"/>
          </w:tcPr>
          <w:p w14:paraId="4A5B6329" w14:textId="77777777" w:rsidR="00B62CDA" w:rsidRPr="000C6DC2" w:rsidRDefault="00B62CDA" w:rsidP="000C6DC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C6DC2">
              <w:rPr>
                <w:rFonts w:cs="Calibri"/>
                <w:color w:val="000000"/>
                <w:szCs w:val="20"/>
              </w:rPr>
              <w:t>None</w:t>
            </w:r>
          </w:p>
        </w:tc>
      </w:tr>
      <w:tr w:rsidR="00B62CDA" w:rsidRPr="000C6DC2" w14:paraId="77B059D2" w14:textId="77777777" w:rsidTr="0027560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7C585F69" w14:textId="77777777" w:rsidR="00B62CDA" w:rsidRPr="000C6DC2" w:rsidRDefault="00B62CDA" w:rsidP="00184548">
            <w:pPr>
              <w:pStyle w:val="Heading4"/>
              <w:outlineLvl w:val="3"/>
              <w:rPr>
                <w:rFonts w:ascii="Calibri" w:hAnsi="Calibri" w:cs="Calibri"/>
                <w:b/>
                <w:color w:val="000000"/>
                <w:szCs w:val="20"/>
              </w:rPr>
            </w:pPr>
            <w:r w:rsidRPr="000C6DC2">
              <w:rPr>
                <w:rFonts w:ascii="Calibri" w:hAnsi="Calibri" w:cs="Calibri"/>
                <w:b/>
                <w:color w:val="000000"/>
                <w:szCs w:val="20"/>
              </w:rPr>
              <w:t>Prior learning</w:t>
            </w:r>
          </w:p>
        </w:tc>
        <w:tc>
          <w:tcPr>
            <w:tcW w:w="7295" w:type="dxa"/>
          </w:tcPr>
          <w:p w14:paraId="655136CE" w14:textId="77777777" w:rsidR="00B62CDA" w:rsidRPr="000C6DC2" w:rsidRDefault="00B62CDA" w:rsidP="000C6DC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C6DC2">
              <w:rPr>
                <w:rFonts w:cs="Calibri"/>
                <w:color w:val="000000"/>
                <w:szCs w:val="20"/>
              </w:rP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B62CDA" w:rsidRPr="000C6DC2" w14:paraId="07723D80" w14:textId="77777777" w:rsidTr="0027560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372B717" w14:textId="77777777" w:rsidR="00B62CDA" w:rsidRPr="000C6DC2" w:rsidRDefault="00B62CDA" w:rsidP="00184548">
            <w:pPr>
              <w:pStyle w:val="Heading4"/>
              <w:outlineLvl w:val="3"/>
              <w:rPr>
                <w:rFonts w:ascii="Calibri" w:hAnsi="Calibri" w:cs="Calibri"/>
                <w:b/>
                <w:color w:val="000000"/>
                <w:szCs w:val="20"/>
              </w:rPr>
            </w:pPr>
            <w:r w:rsidRPr="000C6DC2">
              <w:rPr>
                <w:rFonts w:ascii="Calibri" w:hAnsi="Calibri" w:cs="Calibri"/>
                <w:b/>
                <w:color w:val="000000"/>
                <w:szCs w:val="20"/>
              </w:rPr>
              <w:t>Recommended</w:t>
            </w:r>
          </w:p>
        </w:tc>
        <w:tc>
          <w:tcPr>
            <w:tcW w:w="7295" w:type="dxa"/>
          </w:tcPr>
          <w:p w14:paraId="22E6B31E" w14:textId="77777777" w:rsidR="00B62CDA" w:rsidRPr="000C6DC2" w:rsidRDefault="00B62CDA" w:rsidP="000C6DC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C6DC2">
              <w:rPr>
                <w:rFonts w:cs="Calibri"/>
                <w:color w:val="000000"/>
                <w:szCs w:val="20"/>
              </w:rPr>
              <w:t>None</w:t>
            </w:r>
          </w:p>
        </w:tc>
      </w:tr>
    </w:tbl>
    <w:p w14:paraId="7A9BE9EA" w14:textId="77777777" w:rsidR="00B62CDA" w:rsidRPr="003A73B7" w:rsidRDefault="00B62CDA" w:rsidP="00275600">
      <w:pPr>
        <w:pStyle w:val="Heading2"/>
      </w:pPr>
      <w:r w:rsidRPr="003A73B7">
        <w:t>How will I be assessed?</w:t>
      </w:r>
    </w:p>
    <w:tbl>
      <w:tblPr>
        <w:tblStyle w:val="GridTable1Light-Accent1"/>
        <w:tblW w:w="7083" w:type="dxa"/>
        <w:tblLayout w:type="fixed"/>
        <w:tblLook w:val="0660" w:firstRow="1" w:lastRow="1" w:firstColumn="0" w:lastColumn="0" w:noHBand="1" w:noVBand="1"/>
      </w:tblPr>
      <w:tblGrid>
        <w:gridCol w:w="3964"/>
        <w:gridCol w:w="1736"/>
        <w:gridCol w:w="1383"/>
      </w:tblGrid>
      <w:tr w:rsidR="005869CF" w:rsidRPr="000C6DC2" w14:paraId="4FC7A0C2" w14:textId="77777777" w:rsidTr="00275600">
        <w:trPr>
          <w:cnfStyle w:val="100000000000" w:firstRow="1" w:lastRow="0" w:firstColumn="0" w:lastColumn="0" w:oddVBand="0" w:evenVBand="0" w:oddHBand="0" w:evenHBand="0" w:firstRowFirstColumn="0" w:firstRowLastColumn="0" w:lastRowFirstColumn="0" w:lastRowLastColumn="0"/>
          <w:trHeight w:val="340"/>
        </w:trPr>
        <w:tc>
          <w:tcPr>
            <w:tcW w:w="3964" w:type="dxa"/>
          </w:tcPr>
          <w:p w14:paraId="57AC463F" w14:textId="77777777" w:rsidR="005869CF" w:rsidRPr="000C6DC2" w:rsidRDefault="00A00EA4">
            <w:pPr>
              <w:keepNext/>
              <w:pBdr>
                <w:top w:val="nil"/>
                <w:left w:val="nil"/>
                <w:bottom w:val="nil"/>
                <w:right w:val="nil"/>
                <w:between w:val="nil"/>
              </w:pBdr>
              <w:rPr>
                <w:rFonts w:cs="Calibri"/>
                <w:color w:val="000000"/>
                <w:szCs w:val="20"/>
              </w:rPr>
            </w:pPr>
            <w:r w:rsidRPr="000C6DC2">
              <w:rPr>
                <w:rFonts w:cs="Calibri"/>
                <w:color w:val="000000"/>
                <w:szCs w:val="20"/>
              </w:rPr>
              <w:t>Assessment tool</w:t>
            </w:r>
          </w:p>
        </w:tc>
        <w:tc>
          <w:tcPr>
            <w:tcW w:w="1736" w:type="dxa"/>
          </w:tcPr>
          <w:p w14:paraId="070FBB94" w14:textId="77777777" w:rsidR="005869CF" w:rsidRPr="000C6DC2" w:rsidRDefault="00A00EA4">
            <w:pPr>
              <w:keepNext/>
              <w:pBdr>
                <w:top w:val="nil"/>
                <w:left w:val="nil"/>
                <w:bottom w:val="nil"/>
                <w:right w:val="nil"/>
                <w:between w:val="nil"/>
              </w:pBdr>
              <w:rPr>
                <w:rFonts w:cs="Calibri"/>
                <w:color w:val="000000"/>
                <w:szCs w:val="20"/>
              </w:rPr>
            </w:pPr>
            <w:r w:rsidRPr="000C6DC2">
              <w:rPr>
                <w:rFonts w:cs="Calibri"/>
                <w:color w:val="000000"/>
                <w:szCs w:val="20"/>
              </w:rPr>
              <w:t>% of final grade</w:t>
            </w:r>
          </w:p>
        </w:tc>
        <w:tc>
          <w:tcPr>
            <w:tcW w:w="1383" w:type="dxa"/>
          </w:tcPr>
          <w:p w14:paraId="019BC455" w14:textId="77777777" w:rsidR="005869CF" w:rsidRPr="000C6DC2" w:rsidRDefault="00A00EA4">
            <w:pPr>
              <w:keepNext/>
              <w:pBdr>
                <w:top w:val="nil"/>
                <w:left w:val="nil"/>
                <w:bottom w:val="nil"/>
                <w:right w:val="nil"/>
                <w:between w:val="nil"/>
              </w:pBdr>
              <w:rPr>
                <w:rFonts w:cs="Calibri"/>
                <w:color w:val="000000"/>
                <w:szCs w:val="20"/>
              </w:rPr>
            </w:pPr>
            <w:r w:rsidRPr="000C6DC2">
              <w:rPr>
                <w:rFonts w:cs="Calibri"/>
                <w:color w:val="000000"/>
                <w:szCs w:val="20"/>
              </w:rPr>
              <w:t>Timing</w:t>
            </w:r>
          </w:p>
        </w:tc>
      </w:tr>
      <w:tr w:rsidR="005869CF" w:rsidRPr="000C6DC2" w14:paraId="003F018E" w14:textId="77777777" w:rsidTr="00275600">
        <w:trPr>
          <w:trHeight w:val="340"/>
        </w:trPr>
        <w:tc>
          <w:tcPr>
            <w:tcW w:w="3964" w:type="dxa"/>
          </w:tcPr>
          <w:p w14:paraId="386F0EF1" w14:textId="4F949CCA" w:rsidR="005869CF" w:rsidRPr="000C6DC2" w:rsidRDefault="00A00EA4">
            <w:pPr>
              <w:pBdr>
                <w:top w:val="nil"/>
                <w:left w:val="nil"/>
                <w:bottom w:val="nil"/>
                <w:right w:val="nil"/>
                <w:between w:val="nil"/>
              </w:pBdr>
              <w:rPr>
                <w:rFonts w:cs="Calibri"/>
                <w:color w:val="000000"/>
                <w:szCs w:val="20"/>
              </w:rPr>
            </w:pPr>
            <w:r w:rsidRPr="000C6DC2">
              <w:rPr>
                <w:rFonts w:cs="Calibri"/>
                <w:color w:val="000000"/>
                <w:szCs w:val="20"/>
              </w:rPr>
              <w:t xml:space="preserve">Portfolio </w:t>
            </w:r>
            <w:r w:rsidR="000C6DC2">
              <w:rPr>
                <w:rFonts w:cs="Calibri"/>
                <w:color w:val="000000"/>
                <w:szCs w:val="20"/>
              </w:rPr>
              <w:t>of writing and a visual display</w:t>
            </w:r>
          </w:p>
        </w:tc>
        <w:tc>
          <w:tcPr>
            <w:tcW w:w="1736" w:type="dxa"/>
          </w:tcPr>
          <w:p w14:paraId="179CF80A" w14:textId="77777777" w:rsidR="005869CF" w:rsidRPr="000C6DC2" w:rsidRDefault="00A00EA4">
            <w:pPr>
              <w:pBdr>
                <w:top w:val="nil"/>
                <w:left w:val="nil"/>
                <w:bottom w:val="nil"/>
                <w:right w:val="nil"/>
                <w:between w:val="nil"/>
              </w:pBdr>
              <w:rPr>
                <w:rFonts w:cs="Calibri"/>
                <w:color w:val="000000"/>
                <w:szCs w:val="20"/>
              </w:rPr>
            </w:pPr>
            <w:r w:rsidRPr="000C6DC2">
              <w:rPr>
                <w:rFonts w:cs="Calibri"/>
                <w:color w:val="000000"/>
                <w:szCs w:val="20"/>
              </w:rPr>
              <w:t>100%</w:t>
            </w:r>
          </w:p>
        </w:tc>
        <w:tc>
          <w:tcPr>
            <w:tcW w:w="1383" w:type="dxa"/>
          </w:tcPr>
          <w:p w14:paraId="7BE44BDB" w14:textId="1B2289CE" w:rsidR="005869CF" w:rsidRPr="000C6DC2" w:rsidRDefault="002C3774">
            <w:pPr>
              <w:pBdr>
                <w:top w:val="nil"/>
                <w:left w:val="nil"/>
                <w:bottom w:val="nil"/>
                <w:right w:val="nil"/>
                <w:between w:val="nil"/>
              </w:pBdr>
              <w:rPr>
                <w:rFonts w:cs="Calibri"/>
                <w:color w:val="000000"/>
                <w:szCs w:val="20"/>
              </w:rPr>
            </w:pPr>
            <w:r>
              <w:rPr>
                <w:rFonts w:cs="Calibri"/>
                <w:color w:val="000000"/>
                <w:szCs w:val="20"/>
              </w:rPr>
              <w:t>week 12</w:t>
            </w:r>
          </w:p>
        </w:tc>
      </w:tr>
      <w:tr w:rsidR="005869CF" w:rsidRPr="000C6DC2" w14:paraId="360C3639" w14:textId="77777777" w:rsidTr="00275600">
        <w:trPr>
          <w:cnfStyle w:val="010000000000" w:firstRow="0" w:lastRow="1" w:firstColumn="0" w:lastColumn="0" w:oddVBand="0" w:evenVBand="0" w:oddHBand="0" w:evenHBand="0" w:firstRowFirstColumn="0" w:firstRowLastColumn="0" w:lastRowFirstColumn="0" w:lastRowLastColumn="0"/>
          <w:trHeight w:val="340"/>
        </w:trPr>
        <w:tc>
          <w:tcPr>
            <w:tcW w:w="3964" w:type="dxa"/>
          </w:tcPr>
          <w:p w14:paraId="0C2B54C5" w14:textId="77777777" w:rsidR="005869CF" w:rsidRPr="000C6DC2" w:rsidRDefault="00A00EA4">
            <w:pPr>
              <w:pBdr>
                <w:top w:val="nil"/>
                <w:left w:val="nil"/>
                <w:bottom w:val="nil"/>
                <w:right w:val="nil"/>
                <w:between w:val="nil"/>
              </w:pBdr>
              <w:rPr>
                <w:rFonts w:cs="Calibri"/>
                <w:color w:val="000000"/>
                <w:szCs w:val="20"/>
              </w:rPr>
            </w:pPr>
            <w:r w:rsidRPr="000C6DC2">
              <w:rPr>
                <w:rFonts w:cs="Calibri"/>
                <w:color w:val="000000"/>
                <w:szCs w:val="20"/>
              </w:rPr>
              <w:lastRenderedPageBreak/>
              <w:t>Total</w:t>
            </w:r>
          </w:p>
        </w:tc>
        <w:tc>
          <w:tcPr>
            <w:tcW w:w="1736" w:type="dxa"/>
          </w:tcPr>
          <w:p w14:paraId="755FB52C" w14:textId="77777777" w:rsidR="005869CF" w:rsidRPr="000C6DC2" w:rsidRDefault="00A00EA4">
            <w:pPr>
              <w:pBdr>
                <w:top w:val="nil"/>
                <w:left w:val="nil"/>
                <w:bottom w:val="nil"/>
                <w:right w:val="nil"/>
                <w:between w:val="nil"/>
              </w:pBdr>
              <w:rPr>
                <w:rFonts w:cs="Calibri"/>
                <w:color w:val="000000"/>
                <w:szCs w:val="20"/>
              </w:rPr>
            </w:pPr>
            <w:r w:rsidRPr="000C6DC2">
              <w:rPr>
                <w:rFonts w:cs="Calibri"/>
                <w:color w:val="000000"/>
                <w:szCs w:val="20"/>
              </w:rPr>
              <w:t>100%</w:t>
            </w:r>
          </w:p>
        </w:tc>
        <w:tc>
          <w:tcPr>
            <w:tcW w:w="1383" w:type="dxa"/>
          </w:tcPr>
          <w:p w14:paraId="73B65C9F" w14:textId="77777777" w:rsidR="005869CF" w:rsidRPr="000C6DC2" w:rsidRDefault="005869CF">
            <w:pPr>
              <w:pBdr>
                <w:top w:val="nil"/>
                <w:left w:val="nil"/>
                <w:bottom w:val="nil"/>
                <w:right w:val="nil"/>
                <w:between w:val="nil"/>
              </w:pBdr>
              <w:rPr>
                <w:rFonts w:cs="Calibri"/>
                <w:color w:val="000000"/>
                <w:szCs w:val="20"/>
              </w:rPr>
            </w:pPr>
          </w:p>
        </w:tc>
      </w:tr>
    </w:tbl>
    <w:p w14:paraId="2610EE3C" w14:textId="00A33ADE" w:rsidR="00275600" w:rsidRDefault="00275600" w:rsidP="00275600"/>
    <w:tbl>
      <w:tblPr>
        <w:tblStyle w:val="GridTable2-Accent5"/>
        <w:tblW w:w="0" w:type="auto"/>
        <w:tblLook w:val="0620" w:firstRow="1" w:lastRow="0" w:firstColumn="0" w:lastColumn="0" w:noHBand="1" w:noVBand="1"/>
      </w:tblPr>
      <w:tblGrid>
        <w:gridCol w:w="4395"/>
        <w:gridCol w:w="2835"/>
      </w:tblGrid>
      <w:tr w:rsidR="00275600" w:rsidRPr="00B61B1B" w14:paraId="26B2B19F" w14:textId="77777777" w:rsidTr="00275600">
        <w:trPr>
          <w:cnfStyle w:val="100000000000" w:firstRow="1" w:lastRow="0" w:firstColumn="0" w:lastColumn="0" w:oddVBand="0" w:evenVBand="0" w:oddHBand="0" w:evenHBand="0" w:firstRowFirstColumn="0" w:firstRowLastColumn="0" w:lastRowFirstColumn="0" w:lastRowLastColumn="0"/>
          <w:trHeight w:val="340"/>
        </w:trPr>
        <w:tc>
          <w:tcPr>
            <w:tcW w:w="4395" w:type="dxa"/>
          </w:tcPr>
          <w:p w14:paraId="134D794C" w14:textId="77777777" w:rsidR="00275600" w:rsidRDefault="00275600" w:rsidP="00275600">
            <w:pPr>
              <w:pStyle w:val="Heading4"/>
              <w:outlineLvl w:val="3"/>
            </w:pPr>
            <w:r>
              <w:t>Assessment tool</w:t>
            </w:r>
          </w:p>
        </w:tc>
        <w:tc>
          <w:tcPr>
            <w:tcW w:w="2835" w:type="dxa"/>
          </w:tcPr>
          <w:p w14:paraId="1E33077B" w14:textId="77777777" w:rsidR="00275600" w:rsidRDefault="00275600" w:rsidP="00275600">
            <w:pPr>
              <w:pStyle w:val="Heading4"/>
              <w:outlineLvl w:val="3"/>
            </w:pPr>
            <w:r>
              <w:t>Learning outcomes assessed</w:t>
            </w:r>
          </w:p>
        </w:tc>
      </w:tr>
      <w:tr w:rsidR="00275600" w:rsidRPr="00B61B1B" w14:paraId="57FA4977" w14:textId="77777777" w:rsidTr="00275600">
        <w:trPr>
          <w:trHeight w:val="340"/>
        </w:trPr>
        <w:tc>
          <w:tcPr>
            <w:tcW w:w="4395" w:type="dxa"/>
          </w:tcPr>
          <w:p w14:paraId="3054D7DF" w14:textId="6052CE7A" w:rsidR="00275600" w:rsidRDefault="00275600" w:rsidP="00275600">
            <w:pPr>
              <w:pStyle w:val="ListParagraph"/>
              <w:spacing w:after="0" w:line="240" w:lineRule="auto"/>
            </w:pPr>
            <w:r>
              <w:t>Portfolio of writing and visual display</w:t>
            </w:r>
          </w:p>
        </w:tc>
        <w:tc>
          <w:tcPr>
            <w:tcW w:w="2835" w:type="dxa"/>
          </w:tcPr>
          <w:p w14:paraId="41EA638F" w14:textId="5E279217" w:rsidR="00275600" w:rsidRDefault="00275600" w:rsidP="00275600">
            <w:pPr>
              <w:pStyle w:val="ListParagraph"/>
              <w:spacing w:after="0" w:line="240" w:lineRule="auto"/>
            </w:pPr>
            <w:r>
              <w:t>All learning outcomes</w:t>
            </w:r>
          </w:p>
        </w:tc>
      </w:tr>
    </w:tbl>
    <w:p w14:paraId="105C749C" w14:textId="77777777" w:rsidR="00B62CDA" w:rsidRPr="003A73B7" w:rsidRDefault="00B62CDA" w:rsidP="00275600">
      <w:pPr>
        <w:pStyle w:val="Heading2"/>
        <w:rPr>
          <w:rFonts w:eastAsia="Calibri"/>
        </w:rPr>
      </w:pPr>
      <w:r w:rsidRPr="003A73B7">
        <w:rPr>
          <w:rFonts w:eastAsia="Calibri"/>
        </w:rPr>
        <w:t>Feedback, results and grading</w:t>
      </w:r>
    </w:p>
    <w:p w14:paraId="14801DDC" w14:textId="77777777" w:rsidR="00275600" w:rsidRDefault="00B62CDA" w:rsidP="00275600">
      <w:pPr>
        <w:pStyle w:val="ListParagraph"/>
      </w:pPr>
      <w:r w:rsidRPr="003A73B7">
        <w:t xml:space="preserve">The criteria outlined in NCAD Grade Criteria Template (see handbook) will be employed </w:t>
      </w:r>
      <w:r w:rsidR="000C6DC2">
        <w:t>in the assessment of this work.</w:t>
      </w:r>
      <w:r w:rsidR="00275600">
        <w:t xml:space="preserve">  Students’ assessments will be graded using the </w:t>
      </w:r>
      <w:hyperlink r:id="rId8" w:history="1">
        <w:r w:rsidR="00275600" w:rsidRPr="003B33C3">
          <w:rPr>
            <w:rStyle w:val="Hyperlink"/>
          </w:rPr>
          <w:t>NCAD Grade Descriptors</w:t>
        </w:r>
      </w:hyperlink>
      <w:r w:rsidR="00275600">
        <w:t>.</w:t>
      </w:r>
    </w:p>
    <w:p w14:paraId="7901D43B" w14:textId="77777777" w:rsidR="00B62CDA" w:rsidRPr="003A73B7" w:rsidRDefault="00B62CDA" w:rsidP="00275600">
      <w:pPr>
        <w:pStyle w:val="ListParagraph"/>
      </w:pPr>
      <w:r w:rsidRPr="003A73B7">
        <w:t xml:space="preserve">The portfolio will include a scale plan of the display space detailing the layout of the exhibition, an illustrated list of works, a catalogue essay introducing the exhibition and a range of the following: a programme of events, a press release, an introductory wall text, extended wall labels for exhibits, a social media marketing plan, a budget or funding application. </w:t>
      </w:r>
    </w:p>
    <w:p w14:paraId="31DE3A52" w14:textId="77777777" w:rsidR="00B62CDA" w:rsidRPr="003A73B7" w:rsidRDefault="00B62CDA" w:rsidP="00275600">
      <w:pPr>
        <w:pStyle w:val="Heading2"/>
      </w:pPr>
      <w:r w:rsidRPr="003A73B7">
        <w:t>What happens if I fail?</w:t>
      </w:r>
    </w:p>
    <w:p w14:paraId="2C4A98B9" w14:textId="77777777" w:rsidR="00B62CDA" w:rsidRPr="003A73B7" w:rsidRDefault="00B62CDA" w:rsidP="000C6DC2">
      <w:pPr>
        <w:pStyle w:val="ListParagraph"/>
      </w:pPr>
      <w:r w:rsidRPr="003A73B7">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2572BBAE" w14:textId="77777777" w:rsidR="00B62CDA" w:rsidRPr="003A73B7" w:rsidRDefault="00B62CDA" w:rsidP="00275600">
      <w:pPr>
        <w:pStyle w:val="Heading2"/>
      </w:pPr>
      <w:r w:rsidRPr="003A73B7">
        <w:t>When and where is this module offered?</w:t>
      </w:r>
    </w:p>
    <w:p w14:paraId="3D96C08D" w14:textId="215E16DE" w:rsidR="00B62CDA" w:rsidRPr="003A73B7" w:rsidRDefault="00B62CDA" w:rsidP="000C6DC2">
      <w:pPr>
        <w:pStyle w:val="ListParagraph"/>
      </w:pPr>
      <w:r w:rsidRPr="003A73B7">
        <w:t>Venue: t</w:t>
      </w:r>
      <w:r w:rsidR="002C3774">
        <w:t>b</w:t>
      </w:r>
      <w:r w:rsidR="004B2397">
        <w:t>c</w:t>
      </w:r>
    </w:p>
    <w:p w14:paraId="5B65BFDB" w14:textId="77777777" w:rsidR="00B62CDA" w:rsidRPr="003A73B7" w:rsidRDefault="00B62CDA" w:rsidP="000C6DC2">
      <w:pPr>
        <w:pStyle w:val="ListParagraph"/>
      </w:pPr>
      <w:r w:rsidRPr="003A73B7">
        <w:t>Weeks 1-11 of trimester 2.</w:t>
      </w:r>
    </w:p>
    <w:p w14:paraId="414101A7" w14:textId="77777777" w:rsidR="00B62CDA" w:rsidRPr="003A73B7" w:rsidRDefault="00B62CDA" w:rsidP="00275600">
      <w:pPr>
        <w:pStyle w:val="Heading2"/>
      </w:pPr>
      <w:r w:rsidRPr="003A73B7">
        <w:t>How will I have the chance to evaluate the module?</w:t>
      </w:r>
    </w:p>
    <w:p w14:paraId="75E928E6" w14:textId="77777777" w:rsidR="00B62CDA" w:rsidRPr="003A73B7" w:rsidRDefault="00B62CDA" w:rsidP="000C6DC2">
      <w:pPr>
        <w:pStyle w:val="ListParagraph"/>
      </w:pPr>
      <w:r w:rsidRPr="003A73B7">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CD2F977" w14:textId="7675215D" w:rsidR="00B62CDA" w:rsidRPr="003A73B7" w:rsidRDefault="00B62CDA" w:rsidP="000C6DC2">
      <w:pPr>
        <w:pStyle w:val="ListParagraph"/>
      </w:pPr>
      <w:bookmarkStart w:id="0" w:name="_heading=h.gjdgxs" w:colFirst="0" w:colLast="0"/>
      <w:bookmarkEnd w:id="0"/>
      <w:r w:rsidRPr="003A73B7">
        <w:t xml:space="preserve">About two-thirds of the way through the </w:t>
      </w:r>
      <w:r w:rsidR="00275600">
        <w:t>year</w:t>
      </w:r>
      <w:r w:rsidRPr="003A73B7">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14B91217" w14:textId="77777777" w:rsidR="00B62CDA" w:rsidRPr="003A73B7" w:rsidRDefault="00B62CDA" w:rsidP="000C6DC2">
      <w:pPr>
        <w:pStyle w:val="ListParagraph"/>
      </w:pPr>
      <w:r w:rsidRPr="003A73B7">
        <w:t>In addition, you are invited to discuss your experience on the module with your lecturers at any point during the year.  You can also relay your comments to the class student representative who will communicate your comments to the staff.</w:t>
      </w:r>
    </w:p>
    <w:p w14:paraId="0CE9A100" w14:textId="77777777" w:rsidR="005869CF" w:rsidRPr="003A73B7" w:rsidRDefault="005869CF">
      <w:pPr>
        <w:rPr>
          <w:rFonts w:cs="Calibri"/>
          <w:color w:val="000000"/>
          <w:sz w:val="20"/>
          <w:szCs w:val="20"/>
        </w:rPr>
      </w:pPr>
    </w:p>
    <w:p w14:paraId="79D24201" w14:textId="6FCDC708" w:rsidR="005869CF" w:rsidRPr="00275600" w:rsidRDefault="00A00EA4" w:rsidP="00275600">
      <w:pPr>
        <w:jc w:val="center"/>
        <w:rPr>
          <w:b/>
          <w:sz w:val="20"/>
        </w:rPr>
      </w:pPr>
      <w:r w:rsidRPr="00275600">
        <w:rPr>
          <w:b/>
          <w:sz w:val="20"/>
        </w:rPr>
        <w:t>For further details on the content of your module and teaching arrangements</w:t>
      </w:r>
      <w:r w:rsidR="00275600">
        <w:rPr>
          <w:b/>
          <w:sz w:val="20"/>
        </w:rPr>
        <w:t>,</w:t>
      </w:r>
      <w:r w:rsidR="00275600">
        <w:rPr>
          <w:b/>
          <w:sz w:val="20"/>
        </w:rPr>
        <w:br/>
      </w:r>
      <w:r w:rsidRPr="00275600">
        <w:rPr>
          <w:b/>
          <w:sz w:val="20"/>
        </w:rPr>
        <w:t>consult your Programme or Module Handbook</w:t>
      </w:r>
    </w:p>
    <w:sectPr w:rsidR="005869CF" w:rsidRPr="00275600" w:rsidSect="00B62C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D029" w14:textId="77777777" w:rsidR="00530F24" w:rsidRDefault="00530F24">
      <w:r>
        <w:separator/>
      </w:r>
    </w:p>
  </w:endnote>
  <w:endnote w:type="continuationSeparator" w:id="0">
    <w:p w14:paraId="444AEB1A" w14:textId="77777777" w:rsidR="00530F24" w:rsidRDefault="0053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94B7" w14:textId="0F7A9413" w:rsidR="005869CF" w:rsidRDefault="00A00EA4">
    <w:pPr>
      <w:pBdr>
        <w:top w:val="single" w:sz="4" w:space="1" w:color="5B9BD5"/>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VC2-10 Professional Practice Exhibitions</w:t>
    </w: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separate"/>
    </w:r>
    <w:r w:rsidR="00B62CDA">
      <w:rPr>
        <w:rFonts w:cs="Calibri"/>
        <w:i/>
        <w:noProof/>
        <w:color w:val="000000"/>
        <w:sz w:val="18"/>
        <w:szCs w:val="18"/>
      </w:rPr>
      <w:t>2</w: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B62CDA">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64633C0C" w14:textId="77777777" w:rsidR="001816F2" w:rsidRDefault="001816F2" w:rsidP="001816F2">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w:t>
    </w:r>
    <w:r>
      <w:rPr>
        <w:rFonts w:cs="Calibri"/>
        <w:i/>
        <w:color w:val="000000"/>
        <w:sz w:val="18"/>
        <w:szCs w:val="18"/>
      </w:rPr>
      <w:t xml:space="preserve"> 20</w:t>
    </w:r>
    <w:r>
      <w:rPr>
        <w:i/>
        <w:sz w:val="18"/>
        <w:szCs w:val="18"/>
      </w:rPr>
      <w:t>21</w:t>
    </w:r>
    <w:r>
      <w:rPr>
        <w:i/>
        <w:sz w:val="18"/>
        <w:szCs w:val="18"/>
      </w:rPr>
      <w:tab/>
    </w:r>
    <w:r>
      <w:rPr>
        <w:rFonts w:cs="Calibri"/>
        <w:i/>
        <w:color w:val="000000"/>
        <w:sz w:val="18"/>
        <w:szCs w:val="18"/>
      </w:rPr>
      <w:tab/>
      <w:t xml:space="preserve">Next review: </w:t>
    </w:r>
    <w:r>
      <w:rPr>
        <w:i/>
        <w:sz w:val="18"/>
        <w:szCs w:val="18"/>
      </w:rPr>
      <w:t>Sept</w:t>
    </w:r>
    <w:r>
      <w:rPr>
        <w:rFonts w:cs="Calibri"/>
        <w:i/>
        <w:color w:val="000000"/>
        <w:sz w:val="18"/>
        <w:szCs w:val="18"/>
      </w:rPr>
      <w:t xml:space="preserve"> 202</w:t>
    </w:r>
    <w:r>
      <w:rPr>
        <w:i/>
        <w:sz w:val="18"/>
        <w:szCs w:val="18"/>
      </w:rPr>
      <w:t>2</w:t>
    </w:r>
  </w:p>
  <w:p w14:paraId="745FEE16" w14:textId="77777777" w:rsidR="005869CF" w:rsidRDefault="00A00EA4">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This document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5C05" w14:textId="77777777" w:rsidR="00275600" w:rsidRDefault="00275600" w:rsidP="00275600">
    <w:pPr>
      <w:pBdr>
        <w:top w:val="single" w:sz="4" w:space="1" w:color="5B9BD5"/>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VC2-10 Professional Practice Exhibitions</w:t>
    </w:r>
    <w:r>
      <w:rPr>
        <w:rFonts w:cs="Calibri"/>
        <w:i/>
        <w:color w:val="000000"/>
        <w:sz w:val="18"/>
        <w:szCs w:val="18"/>
      </w:rPr>
      <w:tab/>
    </w:r>
    <w:r>
      <w:rPr>
        <w:rFonts w:cs="Calibri"/>
        <w:i/>
        <w:color w:val="000000"/>
        <w:sz w:val="18"/>
        <w:szCs w:val="18"/>
      </w:rPr>
      <w:tab/>
      <w:t>Module Descriptor</w:t>
    </w:r>
  </w:p>
  <w:p w14:paraId="600EFB3D" w14:textId="340D7113" w:rsidR="00275600" w:rsidRDefault="00067E3A" w:rsidP="00275600">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275600">
      <w:rPr>
        <w:i/>
        <w:sz w:val="18"/>
        <w:szCs w:val="18"/>
      </w:rPr>
      <w:tab/>
    </w:r>
    <w:r w:rsidR="00275600">
      <w:rPr>
        <w:rFonts w:cs="Calibri"/>
        <w:i/>
        <w:color w:val="000000"/>
        <w:sz w:val="18"/>
        <w:szCs w:val="18"/>
      </w:rPr>
      <w:t xml:space="preserve">Page </w:t>
    </w:r>
    <w:r w:rsidR="00275600">
      <w:rPr>
        <w:rFonts w:cs="Calibri"/>
        <w:i/>
        <w:color w:val="000000"/>
        <w:sz w:val="18"/>
        <w:szCs w:val="18"/>
      </w:rPr>
      <w:fldChar w:fldCharType="begin"/>
    </w:r>
    <w:r w:rsidR="00275600">
      <w:rPr>
        <w:rFonts w:cs="Calibri"/>
        <w:i/>
        <w:color w:val="000000"/>
        <w:sz w:val="18"/>
        <w:szCs w:val="18"/>
      </w:rPr>
      <w:instrText>PAGE</w:instrText>
    </w:r>
    <w:r w:rsidR="00275600">
      <w:rPr>
        <w:rFonts w:cs="Calibri"/>
        <w:i/>
        <w:color w:val="000000"/>
        <w:sz w:val="18"/>
        <w:szCs w:val="18"/>
      </w:rPr>
      <w:fldChar w:fldCharType="separate"/>
    </w:r>
    <w:r w:rsidR="00275600">
      <w:rPr>
        <w:rFonts w:cs="Calibri"/>
        <w:i/>
        <w:color w:val="000000"/>
        <w:sz w:val="18"/>
        <w:szCs w:val="18"/>
      </w:rPr>
      <w:t>1</w:t>
    </w:r>
    <w:r w:rsidR="00275600">
      <w:rPr>
        <w:rFonts w:cs="Calibri"/>
        <w:i/>
        <w:color w:val="000000"/>
        <w:sz w:val="18"/>
        <w:szCs w:val="18"/>
      </w:rPr>
      <w:fldChar w:fldCharType="end"/>
    </w:r>
    <w:r w:rsidR="00275600">
      <w:rPr>
        <w:rFonts w:cs="Calibri"/>
        <w:i/>
        <w:color w:val="000000"/>
        <w:sz w:val="18"/>
        <w:szCs w:val="18"/>
      </w:rPr>
      <w:t xml:space="preserve"> of </w:t>
    </w:r>
    <w:r w:rsidR="00275600">
      <w:rPr>
        <w:rFonts w:cs="Calibri"/>
        <w:i/>
        <w:color w:val="000000"/>
        <w:sz w:val="18"/>
        <w:szCs w:val="18"/>
      </w:rPr>
      <w:fldChar w:fldCharType="begin"/>
    </w:r>
    <w:r w:rsidR="00275600">
      <w:rPr>
        <w:rFonts w:cs="Calibri"/>
        <w:i/>
        <w:color w:val="000000"/>
        <w:sz w:val="18"/>
        <w:szCs w:val="18"/>
      </w:rPr>
      <w:instrText>NUMPAGES</w:instrText>
    </w:r>
    <w:r w:rsidR="00275600">
      <w:rPr>
        <w:rFonts w:cs="Calibri"/>
        <w:i/>
        <w:color w:val="000000"/>
        <w:sz w:val="18"/>
        <w:szCs w:val="18"/>
      </w:rPr>
      <w:fldChar w:fldCharType="separate"/>
    </w:r>
    <w:r w:rsidR="00275600">
      <w:rPr>
        <w:rFonts w:cs="Calibri"/>
        <w:i/>
        <w:color w:val="000000"/>
        <w:sz w:val="18"/>
        <w:szCs w:val="18"/>
      </w:rPr>
      <w:t>3</w:t>
    </w:r>
    <w:r w:rsidR="00275600">
      <w:rPr>
        <w:rFonts w:cs="Calibri"/>
        <w:i/>
        <w:color w:val="000000"/>
        <w:sz w:val="18"/>
        <w:szCs w:val="18"/>
      </w:rPr>
      <w:fldChar w:fldCharType="end"/>
    </w:r>
    <w:r w:rsidR="00275600">
      <w:rPr>
        <w:rFonts w:cs="Calibri"/>
        <w:i/>
        <w:color w:val="000000"/>
        <w:sz w:val="18"/>
        <w:szCs w:val="18"/>
      </w:rPr>
      <w:tab/>
    </w:r>
    <w:bookmarkStart w:id="1" w:name="_GoBack"/>
    <w:bookmarkEnd w:id="1"/>
  </w:p>
  <w:p w14:paraId="6EC9DFFC" w14:textId="77777777" w:rsidR="005869CF" w:rsidRDefault="00A00EA4">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This document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500C" w14:textId="705B52B5" w:rsidR="005869CF" w:rsidRDefault="00A00EA4">
    <w:pPr>
      <w:pBdr>
        <w:top w:val="single" w:sz="4" w:space="1" w:color="5B9BD5"/>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VC2-10 Professional Practice Exhibitions</w:t>
    </w:r>
    <w:r>
      <w:rPr>
        <w:rFonts w:cs="Calibri"/>
        <w:i/>
        <w:color w:val="000000"/>
        <w:sz w:val="18"/>
        <w:szCs w:val="18"/>
      </w:rPr>
      <w:tab/>
    </w:r>
    <w:r>
      <w:rPr>
        <w:rFonts w:cs="Calibri"/>
        <w:i/>
        <w:color w:val="000000"/>
        <w:sz w:val="18"/>
        <w:szCs w:val="18"/>
      </w:rPr>
      <w:tab/>
      <w:t>Module Descriptor</w:t>
    </w:r>
  </w:p>
  <w:p w14:paraId="7FC5DAAE" w14:textId="1057BA28" w:rsidR="001816F2" w:rsidRDefault="00067E3A" w:rsidP="001816F2">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1816F2">
      <w:rPr>
        <w:i/>
        <w:sz w:val="18"/>
        <w:szCs w:val="18"/>
      </w:rPr>
      <w:tab/>
    </w:r>
    <w:r w:rsidR="00275600">
      <w:rPr>
        <w:rFonts w:cs="Calibri"/>
        <w:i/>
        <w:color w:val="000000"/>
        <w:sz w:val="18"/>
        <w:szCs w:val="18"/>
      </w:rPr>
      <w:t xml:space="preserve">Page </w:t>
    </w:r>
    <w:r w:rsidR="00275600">
      <w:rPr>
        <w:rFonts w:cs="Calibri"/>
        <w:i/>
        <w:color w:val="000000"/>
        <w:sz w:val="18"/>
        <w:szCs w:val="18"/>
      </w:rPr>
      <w:fldChar w:fldCharType="begin"/>
    </w:r>
    <w:r w:rsidR="00275600">
      <w:rPr>
        <w:rFonts w:cs="Calibri"/>
        <w:i/>
        <w:color w:val="000000"/>
        <w:sz w:val="18"/>
        <w:szCs w:val="18"/>
      </w:rPr>
      <w:instrText>PAGE</w:instrText>
    </w:r>
    <w:r w:rsidR="00275600">
      <w:rPr>
        <w:rFonts w:cs="Calibri"/>
        <w:i/>
        <w:color w:val="000000"/>
        <w:sz w:val="18"/>
        <w:szCs w:val="18"/>
      </w:rPr>
      <w:fldChar w:fldCharType="separate"/>
    </w:r>
    <w:r w:rsidR="00275600">
      <w:rPr>
        <w:rFonts w:cs="Calibri"/>
        <w:i/>
        <w:color w:val="000000"/>
        <w:sz w:val="18"/>
        <w:szCs w:val="18"/>
      </w:rPr>
      <w:t>1</w:t>
    </w:r>
    <w:r w:rsidR="00275600">
      <w:rPr>
        <w:rFonts w:cs="Calibri"/>
        <w:i/>
        <w:color w:val="000000"/>
        <w:sz w:val="18"/>
        <w:szCs w:val="18"/>
      </w:rPr>
      <w:fldChar w:fldCharType="end"/>
    </w:r>
    <w:r w:rsidR="00275600">
      <w:rPr>
        <w:rFonts w:cs="Calibri"/>
        <w:i/>
        <w:color w:val="000000"/>
        <w:sz w:val="18"/>
        <w:szCs w:val="18"/>
      </w:rPr>
      <w:t xml:space="preserve"> of </w:t>
    </w:r>
    <w:r w:rsidR="00275600">
      <w:rPr>
        <w:rFonts w:cs="Calibri"/>
        <w:i/>
        <w:color w:val="000000"/>
        <w:sz w:val="18"/>
        <w:szCs w:val="18"/>
      </w:rPr>
      <w:fldChar w:fldCharType="begin"/>
    </w:r>
    <w:r w:rsidR="00275600">
      <w:rPr>
        <w:rFonts w:cs="Calibri"/>
        <w:i/>
        <w:color w:val="000000"/>
        <w:sz w:val="18"/>
        <w:szCs w:val="18"/>
      </w:rPr>
      <w:instrText>NUMPAGES</w:instrText>
    </w:r>
    <w:r w:rsidR="00275600">
      <w:rPr>
        <w:rFonts w:cs="Calibri"/>
        <w:i/>
        <w:color w:val="000000"/>
        <w:sz w:val="18"/>
        <w:szCs w:val="18"/>
      </w:rPr>
      <w:fldChar w:fldCharType="separate"/>
    </w:r>
    <w:r w:rsidR="00275600">
      <w:rPr>
        <w:rFonts w:cs="Calibri"/>
        <w:i/>
        <w:color w:val="000000"/>
        <w:sz w:val="18"/>
        <w:szCs w:val="18"/>
      </w:rPr>
      <w:t>3</w:t>
    </w:r>
    <w:r w:rsidR="00275600">
      <w:rPr>
        <w:rFonts w:cs="Calibri"/>
        <w:i/>
        <w:color w:val="000000"/>
        <w:sz w:val="18"/>
        <w:szCs w:val="18"/>
      </w:rPr>
      <w:fldChar w:fldCharType="end"/>
    </w:r>
    <w:r w:rsidR="001816F2">
      <w:rPr>
        <w:rFonts w:cs="Calibri"/>
        <w:i/>
        <w:color w:val="000000"/>
        <w:sz w:val="18"/>
        <w:szCs w:val="18"/>
      </w:rPr>
      <w:tab/>
    </w:r>
  </w:p>
  <w:p w14:paraId="315D403A" w14:textId="77777777" w:rsidR="005869CF" w:rsidRDefault="00A00EA4">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This document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D938" w14:textId="77777777" w:rsidR="00530F24" w:rsidRDefault="00530F24">
      <w:r>
        <w:separator/>
      </w:r>
    </w:p>
  </w:footnote>
  <w:footnote w:type="continuationSeparator" w:id="0">
    <w:p w14:paraId="3107431E" w14:textId="77777777" w:rsidR="00530F24" w:rsidRDefault="00530F24">
      <w:r>
        <w:continuationSeparator/>
      </w:r>
    </w:p>
  </w:footnote>
  <w:footnote w:id="1">
    <w:p w14:paraId="43A2D1BD" w14:textId="15363556" w:rsidR="000955CE" w:rsidRPr="000955CE" w:rsidRDefault="000955CE">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EDFA" w14:textId="77777777" w:rsidR="005869CF" w:rsidRDefault="00A00EA4">
    <w:pPr>
      <w:pBdr>
        <w:top w:val="nil"/>
        <w:left w:val="nil"/>
        <w:bottom w:val="nil"/>
        <w:right w:val="nil"/>
        <w:between w:val="nil"/>
      </w:pBdr>
      <w:tabs>
        <w:tab w:val="center" w:pos="4513"/>
        <w:tab w:val="right" w:pos="9026"/>
      </w:tabs>
      <w:rPr>
        <w:rFonts w:cs="Calibri"/>
        <w:color w:val="000000"/>
        <w:szCs w:val="22"/>
      </w:rPr>
    </w:pPr>
    <w:r>
      <w:rPr>
        <w:rFonts w:cs="Calibri"/>
        <w:noProof/>
        <w:color w:val="000000"/>
        <w:szCs w:val="22"/>
        <w:lang w:eastAsia="en-IE"/>
      </w:rPr>
      <w:drawing>
        <wp:inline distT="0" distB="0" distL="0" distR="0" wp14:anchorId="05EF5606" wp14:editId="49C3C812">
          <wp:extent cx="1088136" cy="4572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C98D" w14:textId="410ADD2A" w:rsidR="005869CF" w:rsidRDefault="00290A17">
    <w:pPr>
      <w:pBdr>
        <w:top w:val="nil"/>
        <w:left w:val="nil"/>
        <w:bottom w:val="nil"/>
        <w:right w:val="nil"/>
        <w:between w:val="nil"/>
      </w:pBdr>
      <w:tabs>
        <w:tab w:val="center" w:pos="4513"/>
        <w:tab w:val="right" w:pos="9026"/>
      </w:tabs>
      <w:jc w:val="right"/>
      <w:rPr>
        <w:rFonts w:cs="Calibri"/>
        <w:color w:val="000000"/>
        <w:szCs w:val="22"/>
      </w:rPr>
    </w:pPr>
    <w:r>
      <w:rPr>
        <w:rFonts w:cs="Calibri"/>
        <w:noProof/>
        <w:color w:val="000000"/>
        <w:szCs w:val="22"/>
      </w:rPr>
      <w:drawing>
        <wp:inline distT="0" distB="0" distL="0" distR="0" wp14:anchorId="58D3682D" wp14:editId="0290103B">
          <wp:extent cx="900000" cy="3952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3090" w14:textId="68FFB05D" w:rsidR="005869CF" w:rsidRDefault="00290A17">
    <w:pPr>
      <w:pBdr>
        <w:top w:val="nil"/>
        <w:left w:val="nil"/>
        <w:bottom w:val="nil"/>
        <w:right w:val="nil"/>
        <w:between w:val="nil"/>
      </w:pBdr>
      <w:tabs>
        <w:tab w:val="center" w:pos="4513"/>
        <w:tab w:val="right" w:pos="9026"/>
        <w:tab w:val="right" w:pos="13892"/>
      </w:tabs>
      <w:jc w:val="right"/>
      <w:rPr>
        <w:rFonts w:cs="Calibri"/>
        <w:color w:val="000000"/>
        <w:szCs w:val="22"/>
      </w:rPr>
    </w:pPr>
    <w:r>
      <w:rPr>
        <w:rFonts w:cs="Calibri"/>
        <w:noProof/>
        <w:color w:val="000000"/>
        <w:szCs w:val="22"/>
      </w:rPr>
      <w:drawing>
        <wp:inline distT="0" distB="0" distL="0" distR="0" wp14:anchorId="341DC58A" wp14:editId="1C0477D3">
          <wp:extent cx="1080000" cy="47432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6A9"/>
    <w:multiLevelType w:val="multilevel"/>
    <w:tmpl w:val="8952AE0C"/>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C4EFF"/>
    <w:multiLevelType w:val="multilevel"/>
    <w:tmpl w:val="88580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430D73"/>
    <w:multiLevelType w:val="hybridMultilevel"/>
    <w:tmpl w:val="4B4C0B2E"/>
    <w:lvl w:ilvl="0" w:tplc="410CE674">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E095803"/>
    <w:multiLevelType w:val="multilevel"/>
    <w:tmpl w:val="8952AE0C"/>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CF"/>
    <w:rsid w:val="00067E3A"/>
    <w:rsid w:val="000955CE"/>
    <w:rsid w:val="000B675B"/>
    <w:rsid w:val="000C6DC2"/>
    <w:rsid w:val="001816F2"/>
    <w:rsid w:val="00275600"/>
    <w:rsid w:val="00290A17"/>
    <w:rsid w:val="002C3774"/>
    <w:rsid w:val="003076C3"/>
    <w:rsid w:val="003A73B7"/>
    <w:rsid w:val="004B2397"/>
    <w:rsid w:val="00530F24"/>
    <w:rsid w:val="005869CF"/>
    <w:rsid w:val="007D40D4"/>
    <w:rsid w:val="008737D6"/>
    <w:rsid w:val="0088338E"/>
    <w:rsid w:val="009D0FED"/>
    <w:rsid w:val="00A00EA4"/>
    <w:rsid w:val="00A00F6D"/>
    <w:rsid w:val="00B437EB"/>
    <w:rsid w:val="00B62CDA"/>
    <w:rsid w:val="00ED2A5E"/>
    <w:rsid w:val="00F26D32"/>
    <w:rsid w:val="00F30A9D"/>
    <w:rsid w:val="00F628AE"/>
    <w:rsid w:val="00F94293"/>
    <w:rsid w:val="00FD1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741E3"/>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F0"/>
    <w:rPr>
      <w:rFonts w:cs="Times New Roman"/>
      <w:szCs w:val="24"/>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75600"/>
    <w:pPr>
      <w:keepNext/>
      <w:keepLines/>
      <w:numPr>
        <w:numId w:val="3"/>
      </w:numPr>
      <w:pBdr>
        <w:bottom w:val="single" w:sz="8" w:space="1" w:color="2F5496" w:themeColor="accent5" w:themeShade="BF"/>
      </w:pBdr>
      <w:spacing w:before="360" w:after="120"/>
      <w:ind w:left="567" w:hanging="567"/>
      <w:outlineLvl w:val="1"/>
    </w:pPr>
    <w:rPr>
      <w:rFonts w:eastAsiaTheme="majorEastAsia" w:cs="Calibri"/>
      <w:color w:val="2F5496" w:themeColor="accent5" w:themeShade="BF"/>
      <w:sz w:val="28"/>
      <w:szCs w:val="26"/>
    </w:rPr>
  </w:style>
  <w:style w:type="paragraph" w:styleId="Heading3">
    <w:name w:val="heading 3"/>
    <w:basedOn w:val="Normal"/>
    <w:next w:val="Normal"/>
    <w:link w:val="Heading3Char"/>
    <w:uiPriority w:val="9"/>
    <w:unhideWhenUsed/>
    <w:qFormat/>
    <w:rsid w:val="00275600"/>
    <w:pPr>
      <w:keepNext/>
      <w:spacing w:before="240" w:after="120"/>
      <w:outlineLvl w:val="2"/>
    </w:pPr>
    <w:rPr>
      <w:rFonts w:asciiTheme="minorHAnsi" w:hAnsiTheme="minorHAnsi" w:cstheme="minorHAnsi"/>
      <w:b/>
      <w:color w:val="1F3864" w:themeColor="accent5" w:themeShade="80"/>
      <w:sz w:val="24"/>
      <w:szCs w:val="22"/>
    </w:rPr>
  </w:style>
  <w:style w:type="paragraph" w:styleId="Heading4">
    <w:name w:val="heading 4"/>
    <w:basedOn w:val="Normal"/>
    <w:next w:val="Normal"/>
    <w:link w:val="Heading4Char"/>
    <w:uiPriority w:val="9"/>
    <w:unhideWhenUsed/>
    <w:rsid w:val="00C50787"/>
    <w:pPr>
      <w:outlineLvl w:val="3"/>
    </w:pPr>
    <w:rPr>
      <w:rFonts w:asciiTheme="minorHAnsi" w:hAnsiTheme="minorHAnsi" w:cstheme="minorHAnsi"/>
      <w:b/>
      <w:color w:val="1F3864" w:themeColor="accent5" w:themeShade="80"/>
      <w:szCs w:val="22"/>
    </w:rPr>
  </w:style>
  <w:style w:type="paragraph" w:styleId="Heading5">
    <w:name w:val="heading 5"/>
    <w:basedOn w:val="Normal"/>
    <w:next w:val="Normal"/>
    <w:uiPriority w:val="9"/>
    <w:semiHidden/>
    <w:unhideWhenUsed/>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NoSpacing">
    <w:name w:val="No Spacing"/>
    <w:uiPriority w:val="99"/>
    <w:qFormat/>
    <w:rsid w:val="00870FF0"/>
    <w:rPr>
      <w:rFonts w:ascii="Cambria" w:hAnsi="Cambria" w:cs="Times New Roman"/>
      <w:sz w:val="24"/>
      <w:szCs w:val="24"/>
    </w:rPr>
  </w:style>
  <w:style w:type="paragraph" w:styleId="Header">
    <w:name w:val="header"/>
    <w:basedOn w:val="Normal"/>
    <w:link w:val="HeaderChar"/>
    <w:uiPriority w:val="99"/>
    <w:rsid w:val="00870FF0"/>
    <w:pPr>
      <w:tabs>
        <w:tab w:val="center" w:pos="4513"/>
        <w:tab w:val="right" w:pos="9026"/>
      </w:tabs>
    </w:pPr>
  </w:style>
  <w:style w:type="character" w:customStyle="1" w:styleId="HeaderChar">
    <w:name w:val="Header Char"/>
    <w:basedOn w:val="DefaultParagraphFont"/>
    <w:link w:val="Header"/>
    <w:uiPriority w:val="99"/>
    <w:rsid w:val="00870FF0"/>
    <w:rPr>
      <w:rFonts w:ascii="Calibri" w:eastAsia="Calibri" w:hAnsi="Calibri" w:cs="Times New Roman"/>
      <w:szCs w:val="24"/>
    </w:rPr>
  </w:style>
  <w:style w:type="paragraph" w:styleId="Footer">
    <w:name w:val="footer"/>
    <w:basedOn w:val="Normal"/>
    <w:link w:val="FooterChar"/>
    <w:uiPriority w:val="99"/>
    <w:rsid w:val="0066058B"/>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66058B"/>
    <w:rPr>
      <w:rFonts w:ascii="Calibri" w:eastAsia="Calibri" w:hAnsi="Calibri" w:cs="Times New Roman"/>
      <w:i/>
      <w:sz w:val="18"/>
      <w:szCs w:val="24"/>
    </w:rPr>
  </w:style>
  <w:style w:type="character" w:styleId="CommentReference">
    <w:name w:val="annotation reference"/>
    <w:basedOn w:val="DefaultParagraphFont"/>
    <w:uiPriority w:val="99"/>
    <w:semiHidden/>
    <w:unhideWhenUsed/>
    <w:rsid w:val="00870FF0"/>
    <w:rPr>
      <w:sz w:val="16"/>
      <w:szCs w:val="16"/>
    </w:rPr>
  </w:style>
  <w:style w:type="paragraph" w:styleId="CommentText">
    <w:name w:val="annotation text"/>
    <w:basedOn w:val="Normal"/>
    <w:link w:val="CommentTextChar"/>
    <w:uiPriority w:val="99"/>
    <w:unhideWhenUsed/>
    <w:rsid w:val="00870FF0"/>
    <w:rPr>
      <w:sz w:val="20"/>
      <w:szCs w:val="20"/>
    </w:rPr>
  </w:style>
  <w:style w:type="character" w:customStyle="1" w:styleId="CommentTextChar">
    <w:name w:val="Comment Text Char"/>
    <w:basedOn w:val="DefaultParagraphFont"/>
    <w:link w:val="CommentText"/>
    <w:uiPriority w:val="99"/>
    <w:rsid w:val="00870FF0"/>
    <w:rPr>
      <w:rFonts w:ascii="Calibri" w:eastAsia="Calibri" w:hAnsi="Calibri" w:cs="Times New Roman"/>
      <w:sz w:val="20"/>
      <w:szCs w:val="20"/>
    </w:rPr>
  </w:style>
  <w:style w:type="character" w:styleId="Hyperlink">
    <w:name w:val="Hyperlink"/>
    <w:basedOn w:val="DefaultParagraphFont"/>
    <w:uiPriority w:val="99"/>
    <w:unhideWhenUsed/>
    <w:rsid w:val="00870FF0"/>
    <w:rPr>
      <w:color w:val="0563C1" w:themeColor="hyperlink"/>
      <w:u w:val="single"/>
    </w:rPr>
  </w:style>
  <w:style w:type="paragraph" w:styleId="ListParagraph">
    <w:name w:val="List Paragraph"/>
    <w:basedOn w:val="Normal"/>
    <w:link w:val="ListParagraphChar"/>
    <w:uiPriority w:val="34"/>
    <w:qFormat/>
    <w:rsid w:val="00B62CDA"/>
    <w:pPr>
      <w:spacing w:after="120" w:line="276" w:lineRule="auto"/>
    </w:pPr>
  </w:style>
  <w:style w:type="paragraph" w:styleId="BalloonText">
    <w:name w:val="Balloon Text"/>
    <w:basedOn w:val="Normal"/>
    <w:link w:val="BalloonTextChar"/>
    <w:uiPriority w:val="99"/>
    <w:semiHidden/>
    <w:unhideWhenUsed/>
    <w:rsid w:val="00870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F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8502F"/>
    <w:rPr>
      <w:b/>
      <w:bCs/>
    </w:rPr>
  </w:style>
  <w:style w:type="character" w:customStyle="1" w:styleId="CommentSubjectChar">
    <w:name w:val="Comment Subject Char"/>
    <w:basedOn w:val="CommentTextChar"/>
    <w:link w:val="CommentSubject"/>
    <w:uiPriority w:val="99"/>
    <w:semiHidden/>
    <w:rsid w:val="0058502F"/>
    <w:rPr>
      <w:rFonts w:ascii="Calibri" w:eastAsia="Calibri" w:hAnsi="Calibri" w:cs="Times New Roman"/>
      <w:b/>
      <w:bCs/>
      <w:sz w:val="20"/>
      <w:szCs w:val="20"/>
    </w:rPr>
  </w:style>
  <w:style w:type="table" w:styleId="TableGrid">
    <w:name w:val="Table Grid"/>
    <w:basedOn w:val="TableNormal"/>
    <w:uiPriority w:val="39"/>
    <w:rsid w:val="008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0AB9"/>
    <w:rPr>
      <w:sz w:val="20"/>
      <w:szCs w:val="20"/>
    </w:rPr>
  </w:style>
  <w:style w:type="character" w:customStyle="1" w:styleId="FootnoteTextChar">
    <w:name w:val="Footnote Text Char"/>
    <w:basedOn w:val="DefaultParagraphFont"/>
    <w:link w:val="FootnoteText"/>
    <w:uiPriority w:val="99"/>
    <w:semiHidden/>
    <w:rsid w:val="00A60AB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0AB9"/>
    <w:rPr>
      <w:vertAlign w:val="superscript"/>
    </w:rPr>
  </w:style>
  <w:style w:type="paragraph" w:customStyle="1" w:styleId="MediumGrid21">
    <w:name w:val="Medium Grid 21"/>
    <w:semiHidden/>
    <w:qFormat/>
    <w:rsid w:val="00DD01A6"/>
    <w:rPr>
      <w:rFonts w:ascii="Cambria" w:eastAsia="Times New Roman" w:hAnsi="Cambria" w:cs="Times New Roman"/>
      <w:sz w:val="24"/>
      <w:szCs w:val="24"/>
    </w:rPr>
  </w:style>
  <w:style w:type="table" w:styleId="GridTable2-Accent5">
    <w:name w:val="Grid Table 2 Accent 5"/>
    <w:basedOn w:val="TableNormal"/>
    <w:uiPriority w:val="47"/>
    <w:rsid w:val="00DD01A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DD01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C50787"/>
    <w:rPr>
      <w:rFonts w:asciiTheme="minorHAnsi" w:eastAsia="Calibri" w:hAnsiTheme="minorHAnsi" w:cstheme="minorHAnsi"/>
      <w:b/>
      <w:color w:val="1F3864" w:themeColor="accent5" w:themeShade="80"/>
    </w:rPr>
  </w:style>
  <w:style w:type="character" w:customStyle="1" w:styleId="Heading2Char">
    <w:name w:val="Heading 2 Char"/>
    <w:basedOn w:val="DefaultParagraphFont"/>
    <w:link w:val="Heading2"/>
    <w:uiPriority w:val="9"/>
    <w:rsid w:val="00275600"/>
    <w:rPr>
      <w:rFonts w:eastAsiaTheme="majorEastAsia"/>
      <w:color w:val="2F5496" w:themeColor="accent5" w:themeShade="BF"/>
      <w:sz w:val="28"/>
      <w:szCs w:val="26"/>
    </w:rPr>
  </w:style>
  <w:style w:type="character" w:customStyle="1" w:styleId="Heading3Char">
    <w:name w:val="Heading 3 Char"/>
    <w:basedOn w:val="DefaultParagraphFont"/>
    <w:link w:val="Heading3"/>
    <w:uiPriority w:val="9"/>
    <w:rsid w:val="00275600"/>
    <w:rPr>
      <w:rFonts w:asciiTheme="minorHAnsi" w:hAnsiTheme="minorHAnsi" w:cstheme="minorHAnsi"/>
      <w:b/>
      <w:color w:val="1F3864" w:themeColor="accent5" w:themeShade="80"/>
      <w:sz w:val="24"/>
    </w:rPr>
  </w:style>
  <w:style w:type="character" w:customStyle="1" w:styleId="ListParagraphChar">
    <w:name w:val="List Paragraph Char"/>
    <w:basedOn w:val="DefaultParagraphFont"/>
    <w:link w:val="ListParagraph"/>
    <w:uiPriority w:val="34"/>
    <w:rsid w:val="00B62CDA"/>
    <w:rPr>
      <w:rFonts w:cs="Times New Roman"/>
      <w:szCs w:val="24"/>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customStyle="1" w:styleId="Heading1Char">
    <w:name w:val="Heading 1 Char"/>
    <w:basedOn w:val="DefaultParagraphFont"/>
    <w:link w:val="Heading1"/>
    <w:uiPriority w:val="9"/>
    <w:rsid w:val="00B62CDA"/>
    <w:rPr>
      <w:rFonts w:cs="Times New Roman"/>
      <w:b/>
      <w:sz w:val="48"/>
      <w:szCs w:val="48"/>
    </w:rPr>
  </w:style>
  <w:style w:type="paragraph" w:customStyle="1" w:styleId="Bullets">
    <w:name w:val="Bullets"/>
    <w:basedOn w:val="ListParagraph"/>
    <w:link w:val="BulletsChar"/>
    <w:qFormat/>
    <w:rsid w:val="00B62CDA"/>
    <w:pPr>
      <w:spacing w:before="120" w:after="0"/>
    </w:pPr>
  </w:style>
  <w:style w:type="character" w:customStyle="1" w:styleId="BulletsChar">
    <w:name w:val="Bullets Char"/>
    <w:basedOn w:val="ListParagraphChar"/>
    <w:link w:val="Bullets"/>
    <w:rsid w:val="00B62CDA"/>
    <w:rPr>
      <w:rFonts w:cs="Times New Roman"/>
      <w:szCs w:val="24"/>
    </w:rPr>
  </w:style>
  <w:style w:type="table" w:styleId="GridTable1Light-Accent1">
    <w:name w:val="Grid Table 1 Light Accent 1"/>
    <w:basedOn w:val="TableNormal"/>
    <w:uiPriority w:val="46"/>
    <w:rsid w:val="000C6DC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6iy1NALsHQNLwlz5NDEMcTDagw==">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VC2-10 Professional Practice - Exhibitions ModDesc</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VC2-10 Professional Practice - Exhibitions ModDesc</dc:title>
  <dc:subject>VC2-10 Professional Practice - Exhibitions ModDesc</dc:subject>
  <dc:creator>Kilian O'Callaghan;David Crowley</dc:creator>
  <cp:keywords>2022;Module Descriptor;Visual Culture</cp:keywords>
  <cp:lastModifiedBy>Microsoft Office User</cp:lastModifiedBy>
  <cp:revision>3</cp:revision>
  <cp:lastPrinted>2022-10-25T22:04:00Z</cp:lastPrinted>
  <dcterms:created xsi:type="dcterms:W3CDTF">2023-10-15T12:40:00Z</dcterms:created>
  <dcterms:modified xsi:type="dcterms:W3CDTF">2023-10-15T12:40:00Z</dcterms:modified>
</cp:coreProperties>
</file>